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232ED9" w:rsidRDefault="00E77CB3" w:rsidP="00232ED9">
      <w:pPr>
        <w:jc w:val="center"/>
        <w:rPr>
          <w:lang w:val="fr-FR"/>
        </w:rPr>
      </w:pPr>
      <w:bookmarkStart w:id="0" w:name="_GoBack"/>
      <w:bookmarkEnd w:id="0"/>
    </w:p>
    <w:p w:rsidR="00DC3C0F" w:rsidRPr="00232ED9" w:rsidRDefault="00DC3C0F" w:rsidP="00232ED9">
      <w:pPr>
        <w:jc w:val="center"/>
        <w:rPr>
          <w:lang w:val="fr-FR"/>
        </w:rPr>
      </w:pPr>
    </w:p>
    <w:p w:rsidR="00DC3C0F" w:rsidRPr="00232ED9" w:rsidRDefault="00DC3C0F" w:rsidP="00232ED9">
      <w:pPr>
        <w:jc w:val="center"/>
        <w:rPr>
          <w:lang w:val="fr-FR"/>
        </w:rPr>
      </w:pPr>
    </w:p>
    <w:p w:rsidR="00E77CB3" w:rsidRPr="00232ED9" w:rsidRDefault="0065595C" w:rsidP="00232ED9">
      <w:pPr>
        <w:jc w:val="center"/>
        <w:rPr>
          <w:lang w:val="fr-FR"/>
        </w:rPr>
      </w:pPr>
      <w:r w:rsidRPr="00232ED9">
        <w:rPr>
          <w:lang w:val="fr-FR"/>
        </w:rPr>
        <w:t>PREMIÈRE SECTION</w:t>
      </w:r>
    </w:p>
    <w:p w:rsidR="00E77CB3" w:rsidRPr="00232ED9" w:rsidRDefault="00E77CB3" w:rsidP="00232ED9">
      <w:pPr>
        <w:jc w:val="center"/>
        <w:rPr>
          <w:lang w:val="fr-FR"/>
        </w:rPr>
      </w:pPr>
    </w:p>
    <w:p w:rsidR="00DC3C0F" w:rsidRPr="00232ED9" w:rsidRDefault="00DC3C0F" w:rsidP="00232ED9">
      <w:pPr>
        <w:jc w:val="center"/>
        <w:rPr>
          <w:lang w:val="fr-FR"/>
        </w:rPr>
      </w:pPr>
    </w:p>
    <w:p w:rsidR="00DC3C0F" w:rsidRPr="00232ED9" w:rsidRDefault="00DC3C0F" w:rsidP="00232ED9">
      <w:pPr>
        <w:jc w:val="center"/>
        <w:rPr>
          <w:lang w:val="fr-FR"/>
        </w:rPr>
      </w:pPr>
    </w:p>
    <w:p w:rsidR="00DC3C0F" w:rsidRPr="00232ED9" w:rsidRDefault="00DC3C0F" w:rsidP="00232ED9">
      <w:pPr>
        <w:jc w:val="center"/>
        <w:rPr>
          <w:lang w:val="fr-FR"/>
        </w:rPr>
      </w:pPr>
    </w:p>
    <w:p w:rsidR="00DC3C0F" w:rsidRPr="00232ED9" w:rsidRDefault="00DC3C0F" w:rsidP="00232ED9">
      <w:pPr>
        <w:jc w:val="center"/>
        <w:rPr>
          <w:lang w:val="fr-FR"/>
        </w:rPr>
      </w:pPr>
    </w:p>
    <w:p w:rsidR="00DC3C0F" w:rsidRPr="00232ED9" w:rsidRDefault="00DC3C0F" w:rsidP="00232ED9">
      <w:pPr>
        <w:jc w:val="center"/>
        <w:rPr>
          <w:lang w:val="fr-FR"/>
        </w:rPr>
      </w:pPr>
    </w:p>
    <w:p w:rsidR="00E77CB3" w:rsidRPr="00232ED9" w:rsidRDefault="00E77CB3" w:rsidP="00232ED9">
      <w:pPr>
        <w:jc w:val="center"/>
        <w:rPr>
          <w:b/>
          <w:lang w:val="fr-FR"/>
        </w:rPr>
      </w:pPr>
      <w:bookmarkStart w:id="1" w:name="To"/>
      <w:r w:rsidRPr="00232ED9">
        <w:rPr>
          <w:b/>
          <w:lang w:val="fr-FR"/>
        </w:rPr>
        <w:t xml:space="preserve">AFFAIRE </w:t>
      </w:r>
      <w:bookmarkEnd w:id="1"/>
      <w:r w:rsidR="00CB752B" w:rsidRPr="00232ED9">
        <w:rPr>
          <w:b/>
          <w:lang w:val="fr-FR"/>
        </w:rPr>
        <w:t xml:space="preserve">MESSANA </w:t>
      </w:r>
      <w:r w:rsidR="006B2574" w:rsidRPr="00232ED9">
        <w:rPr>
          <w:b/>
          <w:lang w:val="fr-FR"/>
        </w:rPr>
        <w:t xml:space="preserve">c. </w:t>
      </w:r>
      <w:r w:rsidR="00CB752B" w:rsidRPr="00232ED9">
        <w:rPr>
          <w:b/>
          <w:lang w:val="fr-FR"/>
        </w:rPr>
        <w:t>ITALIE</w:t>
      </w:r>
    </w:p>
    <w:p w:rsidR="00E77CB3" w:rsidRPr="00232ED9" w:rsidRDefault="00E77CB3" w:rsidP="00232ED9">
      <w:pPr>
        <w:jc w:val="center"/>
        <w:rPr>
          <w:lang w:val="fr-FR"/>
        </w:rPr>
      </w:pPr>
    </w:p>
    <w:p w:rsidR="00DC3C0F" w:rsidRPr="00232ED9" w:rsidRDefault="00E77CB3" w:rsidP="00232ED9">
      <w:pPr>
        <w:jc w:val="center"/>
        <w:rPr>
          <w:rFonts w:ascii="Times New Roman" w:hAnsi="Times New Roman" w:cs="Times New Roman"/>
          <w:color w:val="000000"/>
          <w:lang w:val="fr-FR"/>
        </w:rPr>
      </w:pPr>
      <w:r w:rsidRPr="00232ED9">
        <w:rPr>
          <w:i/>
          <w:lang w:val="fr-FR"/>
        </w:rPr>
        <w:t>(</w:t>
      </w:r>
      <w:r w:rsidR="0065595C" w:rsidRPr="00232ED9">
        <w:rPr>
          <w:i/>
          <w:lang w:val="fr-FR"/>
        </w:rPr>
        <w:t>Requête n</w:t>
      </w:r>
      <w:r w:rsidR="0065595C" w:rsidRPr="00232ED9">
        <w:rPr>
          <w:i/>
          <w:vertAlign w:val="superscript"/>
          <w:lang w:val="fr-FR"/>
        </w:rPr>
        <w:t>o</w:t>
      </w:r>
      <w:r w:rsidR="0065595C" w:rsidRPr="00232ED9">
        <w:rPr>
          <w:i/>
          <w:lang w:val="fr-FR"/>
        </w:rPr>
        <w:t xml:space="preserve"> 30801/06</w:t>
      </w:r>
      <w:r w:rsidRPr="00232ED9">
        <w:rPr>
          <w:i/>
          <w:lang w:val="fr-FR"/>
        </w:rPr>
        <w:t>)</w:t>
      </w: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DC3C0F" w:rsidRPr="00232ED9" w:rsidRDefault="00DC3C0F" w:rsidP="00232ED9">
      <w:pPr>
        <w:jc w:val="center"/>
        <w:rPr>
          <w:rFonts w:ascii="Times New Roman" w:hAnsi="Times New Roman" w:cs="Times New Roman"/>
          <w:b/>
          <w:color w:val="000000"/>
          <w:lang w:val="fr-FR"/>
        </w:rPr>
      </w:pPr>
    </w:p>
    <w:p w:rsidR="00232ED9" w:rsidRPr="00232ED9" w:rsidRDefault="00232ED9" w:rsidP="00232ED9">
      <w:pPr>
        <w:jc w:val="center"/>
        <w:rPr>
          <w:rFonts w:ascii="Times New Roman" w:hAnsi="Times New Roman" w:cs="Times New Roman"/>
          <w:b/>
          <w:color w:val="000000"/>
          <w:lang w:val="fr-FR"/>
        </w:rPr>
      </w:pPr>
    </w:p>
    <w:p w:rsidR="00232ED9" w:rsidRPr="00232ED9" w:rsidRDefault="00232ED9" w:rsidP="00232ED9">
      <w:pPr>
        <w:jc w:val="center"/>
        <w:rPr>
          <w:rFonts w:ascii="Times New Roman" w:hAnsi="Times New Roman" w:cs="Times New Roman"/>
          <w:b/>
          <w:color w:val="000000"/>
          <w:lang w:val="fr-FR"/>
        </w:rPr>
      </w:pPr>
    </w:p>
    <w:p w:rsidR="00232ED9" w:rsidRPr="00232ED9" w:rsidRDefault="00232ED9" w:rsidP="00232ED9">
      <w:pPr>
        <w:jc w:val="center"/>
        <w:rPr>
          <w:rFonts w:ascii="Times New Roman" w:hAnsi="Times New Roman" w:cs="Times New Roman"/>
          <w:b/>
          <w:color w:val="000000"/>
          <w:lang w:val="fr-FR"/>
        </w:rPr>
      </w:pPr>
    </w:p>
    <w:p w:rsidR="00232ED9" w:rsidRPr="00232ED9" w:rsidRDefault="00232ED9" w:rsidP="00232ED9">
      <w:pPr>
        <w:jc w:val="center"/>
        <w:rPr>
          <w:rFonts w:ascii="Times New Roman" w:hAnsi="Times New Roman" w:cs="Times New Roman"/>
          <w:b/>
          <w:color w:val="000000"/>
          <w:lang w:val="fr-FR"/>
        </w:rPr>
      </w:pPr>
    </w:p>
    <w:p w:rsidR="00DC3C0F" w:rsidRPr="00232ED9" w:rsidRDefault="00DC3C0F" w:rsidP="00232ED9">
      <w:pPr>
        <w:jc w:val="center"/>
        <w:rPr>
          <w:lang w:val="fr-FR"/>
        </w:rPr>
      </w:pPr>
      <w:r w:rsidRPr="00232ED9">
        <w:rPr>
          <w:lang w:val="fr-FR"/>
        </w:rPr>
        <w:t>ARRÊT</w:t>
      </w:r>
    </w:p>
    <w:p w:rsidR="00C81BDC" w:rsidRPr="00232ED9" w:rsidRDefault="00C81BDC" w:rsidP="00232ED9">
      <w:pPr>
        <w:jc w:val="center"/>
        <w:rPr>
          <w:lang w:val="fr-FR"/>
        </w:rPr>
      </w:pPr>
    </w:p>
    <w:p w:rsidR="00232ED9" w:rsidRPr="00232ED9" w:rsidRDefault="00232ED9" w:rsidP="00232ED9">
      <w:pPr>
        <w:jc w:val="center"/>
        <w:rPr>
          <w:lang w:val="fr-FR"/>
        </w:rPr>
      </w:pPr>
    </w:p>
    <w:p w:rsidR="00DC3C0F" w:rsidRPr="00232ED9" w:rsidRDefault="00DC3C0F" w:rsidP="00232ED9">
      <w:pPr>
        <w:jc w:val="center"/>
        <w:rPr>
          <w:lang w:val="fr-FR"/>
        </w:rPr>
      </w:pPr>
    </w:p>
    <w:p w:rsidR="00DC3C0F" w:rsidRPr="00232ED9" w:rsidRDefault="00DC3C0F" w:rsidP="00232ED9">
      <w:pPr>
        <w:jc w:val="center"/>
        <w:rPr>
          <w:lang w:val="fr-FR"/>
        </w:rPr>
      </w:pPr>
    </w:p>
    <w:p w:rsidR="00DC3C0F" w:rsidRPr="00232ED9" w:rsidRDefault="00DC3C0F" w:rsidP="00232ED9">
      <w:pPr>
        <w:jc w:val="center"/>
        <w:rPr>
          <w:lang w:val="fr-FR"/>
        </w:rPr>
      </w:pPr>
      <w:r w:rsidRPr="00232ED9">
        <w:rPr>
          <w:lang w:val="fr-FR"/>
        </w:rPr>
        <w:t>STRASBOURG</w:t>
      </w:r>
    </w:p>
    <w:p w:rsidR="00DC3C0F" w:rsidRPr="00232ED9" w:rsidRDefault="00DC3C0F" w:rsidP="00232ED9">
      <w:pPr>
        <w:jc w:val="center"/>
        <w:rPr>
          <w:lang w:val="fr-FR"/>
        </w:rPr>
      </w:pPr>
    </w:p>
    <w:p w:rsidR="00DC3C0F" w:rsidRPr="00232ED9" w:rsidRDefault="00DC3C0F" w:rsidP="00232ED9">
      <w:pPr>
        <w:jc w:val="center"/>
        <w:rPr>
          <w:lang w:val="fr-FR"/>
        </w:rPr>
      </w:pPr>
      <w:r w:rsidRPr="00232ED9">
        <w:rPr>
          <w:lang w:val="fr-FR"/>
        </w:rPr>
        <w:t>16 novembre 2017</w:t>
      </w:r>
    </w:p>
    <w:p w:rsidR="00DC3C0F" w:rsidRPr="00232ED9" w:rsidRDefault="00DC3C0F" w:rsidP="00232ED9">
      <w:pPr>
        <w:jc w:val="center"/>
        <w:rPr>
          <w:lang w:val="fr-FR"/>
        </w:rPr>
      </w:pPr>
    </w:p>
    <w:p w:rsidR="00362D8D" w:rsidRPr="00232ED9" w:rsidRDefault="00362D8D" w:rsidP="00232ED9">
      <w:pPr>
        <w:jc w:val="center"/>
        <w:rPr>
          <w:lang w:val="fr-FR"/>
        </w:rPr>
      </w:pPr>
    </w:p>
    <w:p w:rsidR="00232ED9" w:rsidRPr="00232ED9" w:rsidRDefault="00232ED9" w:rsidP="00232ED9">
      <w:pPr>
        <w:jc w:val="center"/>
        <w:rPr>
          <w:lang w:val="fr-FR"/>
        </w:rPr>
      </w:pPr>
    </w:p>
    <w:p w:rsidR="00362D8D" w:rsidRPr="00232ED9" w:rsidRDefault="00DC3C0F" w:rsidP="00232ED9">
      <w:pPr>
        <w:jc w:val="left"/>
        <w:rPr>
          <w:i/>
          <w:sz w:val="22"/>
          <w:lang w:val="fr-FR"/>
        </w:rPr>
      </w:pPr>
      <w:r w:rsidRPr="00232ED9">
        <w:rPr>
          <w:i/>
          <w:sz w:val="22"/>
          <w:lang w:val="fr-FR"/>
        </w:rPr>
        <w:t>Cet arrêt est définitif. Il peut subir des retouches de forme.</w:t>
      </w:r>
    </w:p>
    <w:p w:rsidR="00362D8D" w:rsidRPr="00232ED9" w:rsidRDefault="00362D8D" w:rsidP="00232ED9">
      <w:pPr>
        <w:pStyle w:val="JuParaSub"/>
        <w:ind w:firstLine="0"/>
        <w:rPr>
          <w:lang w:val="fr-FR"/>
        </w:rPr>
        <w:sectPr w:rsidR="00362D8D" w:rsidRPr="00232ED9" w:rsidSect="00DC3C0F">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232ED9" w:rsidRDefault="00E77CB3" w:rsidP="00232ED9">
      <w:pPr>
        <w:pStyle w:val="JuCase"/>
        <w:jc w:val="left"/>
        <w:rPr>
          <w:lang w:val="fr-FR"/>
        </w:rPr>
      </w:pPr>
      <w:r w:rsidRPr="00232ED9">
        <w:rPr>
          <w:lang w:val="fr-FR"/>
        </w:rPr>
        <w:lastRenderedPageBreak/>
        <w:t>En l</w:t>
      </w:r>
      <w:r w:rsidR="00232ED9" w:rsidRPr="00232ED9">
        <w:rPr>
          <w:lang w:val="fr-FR"/>
        </w:rPr>
        <w:t>’</w:t>
      </w:r>
      <w:r w:rsidRPr="00232ED9">
        <w:rPr>
          <w:lang w:val="fr-FR"/>
        </w:rPr>
        <w:t xml:space="preserve">affaire </w:t>
      </w:r>
      <w:r w:rsidR="00C471FF" w:rsidRPr="00232ED9">
        <w:rPr>
          <w:lang w:val="fr-FR"/>
        </w:rPr>
        <w:t>Messana c. Italie</w:t>
      </w:r>
      <w:r w:rsidRPr="00232ED9">
        <w:rPr>
          <w:lang w:val="fr-FR"/>
        </w:rPr>
        <w:t>,</w:t>
      </w:r>
    </w:p>
    <w:p w:rsidR="00E77CB3" w:rsidRPr="00232ED9" w:rsidRDefault="00E77CB3" w:rsidP="00232ED9">
      <w:pPr>
        <w:pStyle w:val="ECHRPara"/>
        <w:rPr>
          <w:lang w:val="fr-FR"/>
        </w:rPr>
      </w:pPr>
      <w:r w:rsidRPr="00232ED9">
        <w:rPr>
          <w:lang w:val="fr-FR"/>
        </w:rPr>
        <w:t>La Cour européenne des droits de l</w:t>
      </w:r>
      <w:r w:rsidR="00232ED9" w:rsidRPr="00232ED9">
        <w:rPr>
          <w:lang w:val="fr-FR"/>
        </w:rPr>
        <w:t>’</w:t>
      </w:r>
      <w:r w:rsidRPr="00232ED9">
        <w:rPr>
          <w:lang w:val="fr-FR"/>
        </w:rPr>
        <w:t>homme (</w:t>
      </w:r>
      <w:r w:rsidR="0065595C" w:rsidRPr="00232ED9">
        <w:rPr>
          <w:lang w:val="fr-FR"/>
        </w:rPr>
        <w:t>première section</w:t>
      </w:r>
      <w:r w:rsidRPr="00232ED9">
        <w:rPr>
          <w:lang w:val="fr-FR"/>
        </w:rPr>
        <w:t xml:space="preserve">), siégeant en </w:t>
      </w:r>
      <w:r w:rsidR="0065595C" w:rsidRPr="00232ED9">
        <w:rPr>
          <w:lang w:val="fr-FR"/>
        </w:rPr>
        <w:t>un comité composé</w:t>
      </w:r>
      <w:r w:rsidRPr="00232ED9">
        <w:rPr>
          <w:lang w:val="fr-FR"/>
        </w:rPr>
        <w:t xml:space="preserve"> de :</w:t>
      </w:r>
    </w:p>
    <w:p w:rsidR="00E77CB3" w:rsidRPr="00232ED9" w:rsidRDefault="00DC3C0F" w:rsidP="00232ED9">
      <w:pPr>
        <w:pStyle w:val="ECHRDecisionBody"/>
        <w:rPr>
          <w:lang w:val="fr-FR"/>
        </w:rPr>
      </w:pPr>
      <w:r w:rsidRPr="00232ED9">
        <w:rPr>
          <w:lang w:val="fr-FR"/>
        </w:rPr>
        <w:tab/>
        <w:t>Kristina Pardalos,</w:t>
      </w:r>
      <w:r w:rsidRPr="00232ED9">
        <w:rPr>
          <w:i/>
          <w:lang w:val="fr-FR"/>
        </w:rPr>
        <w:t xml:space="preserve"> présidente,</w:t>
      </w:r>
      <w:r w:rsidRPr="00232ED9">
        <w:rPr>
          <w:i/>
          <w:lang w:val="fr-FR"/>
        </w:rPr>
        <w:br/>
      </w:r>
      <w:r w:rsidRPr="00232ED9">
        <w:rPr>
          <w:lang w:val="fr-FR"/>
        </w:rPr>
        <w:tab/>
        <w:t>Ksenija Turković,</w:t>
      </w:r>
      <w:r w:rsidRPr="00232ED9">
        <w:rPr>
          <w:i/>
          <w:lang w:val="fr-FR"/>
        </w:rPr>
        <w:br/>
      </w:r>
      <w:r w:rsidRPr="00232ED9">
        <w:rPr>
          <w:lang w:val="fr-FR"/>
        </w:rPr>
        <w:tab/>
        <w:t>Pauliine Koskelo,</w:t>
      </w:r>
      <w:r w:rsidRPr="00232ED9">
        <w:rPr>
          <w:i/>
          <w:lang w:val="fr-FR"/>
        </w:rPr>
        <w:t xml:space="preserve"> juges,</w:t>
      </w:r>
      <w:r w:rsidR="00E77CB3" w:rsidRPr="00232ED9">
        <w:rPr>
          <w:lang w:val="fr-FR"/>
        </w:rPr>
        <w:br/>
        <w:t xml:space="preserve">et de </w:t>
      </w:r>
      <w:r w:rsidR="00B62567" w:rsidRPr="00232ED9">
        <w:rPr>
          <w:lang w:val="fr-FR"/>
        </w:rPr>
        <w:t>Renata Degener</w:t>
      </w:r>
      <w:r w:rsidR="00E77CB3" w:rsidRPr="00232ED9">
        <w:rPr>
          <w:lang w:val="fr-FR"/>
        </w:rPr>
        <w:t xml:space="preserve">, </w:t>
      </w:r>
      <w:r w:rsidR="00BD50DA" w:rsidRPr="00232ED9">
        <w:rPr>
          <w:i/>
          <w:lang w:val="fr-FR"/>
        </w:rPr>
        <w:t>greffière</w:t>
      </w:r>
      <w:r w:rsidR="00B62567" w:rsidRPr="00232ED9">
        <w:rPr>
          <w:i/>
          <w:lang w:val="fr-FR"/>
        </w:rPr>
        <w:t xml:space="preserve"> adjointe</w:t>
      </w:r>
      <w:r w:rsidR="0065595C" w:rsidRPr="00232ED9">
        <w:rPr>
          <w:i/>
          <w:lang w:val="fr-FR"/>
        </w:rPr>
        <w:t xml:space="preserve"> </w:t>
      </w:r>
      <w:r w:rsidR="0065595C" w:rsidRPr="00232ED9">
        <w:rPr>
          <w:i/>
          <w:iCs/>
          <w:lang w:val="fr-FR"/>
        </w:rPr>
        <w:t>d</w:t>
      </w:r>
      <w:r w:rsidR="0065595C" w:rsidRPr="00232ED9">
        <w:rPr>
          <w:i/>
          <w:lang w:val="fr-FR"/>
        </w:rPr>
        <w:t>e section</w:t>
      </w:r>
      <w:r w:rsidR="00E77CB3" w:rsidRPr="00232ED9">
        <w:rPr>
          <w:lang w:val="fr-FR"/>
        </w:rPr>
        <w:t>,</w:t>
      </w:r>
    </w:p>
    <w:p w:rsidR="00E77CB3" w:rsidRPr="00232ED9" w:rsidRDefault="00E77CB3" w:rsidP="00232ED9">
      <w:pPr>
        <w:pStyle w:val="ECHRPara"/>
        <w:rPr>
          <w:lang w:val="fr-FR"/>
        </w:rPr>
      </w:pPr>
      <w:r w:rsidRPr="00232ED9">
        <w:rPr>
          <w:lang w:val="fr-FR"/>
        </w:rPr>
        <w:t xml:space="preserve">Après en avoir délibéré en chambre du conseil le </w:t>
      </w:r>
      <w:r w:rsidR="00DC3C0F" w:rsidRPr="00232ED9">
        <w:rPr>
          <w:lang w:val="fr-FR"/>
        </w:rPr>
        <w:t>17 octobre 2017</w:t>
      </w:r>
      <w:r w:rsidRPr="00232ED9">
        <w:rPr>
          <w:lang w:val="fr-FR"/>
        </w:rPr>
        <w:t>,</w:t>
      </w:r>
    </w:p>
    <w:p w:rsidR="00E77CB3" w:rsidRPr="00232ED9" w:rsidRDefault="00E77CB3" w:rsidP="00232ED9">
      <w:pPr>
        <w:pStyle w:val="ECHRPara"/>
        <w:rPr>
          <w:lang w:val="fr-FR"/>
        </w:rPr>
      </w:pPr>
      <w:r w:rsidRPr="00232ED9">
        <w:rPr>
          <w:lang w:val="fr-FR"/>
        </w:rPr>
        <w:t>Rend l</w:t>
      </w:r>
      <w:r w:rsidR="00232ED9" w:rsidRPr="00232ED9">
        <w:rPr>
          <w:lang w:val="fr-FR"/>
        </w:rPr>
        <w:t>’</w:t>
      </w:r>
      <w:r w:rsidRPr="00232ED9">
        <w:rPr>
          <w:lang w:val="fr-FR"/>
        </w:rPr>
        <w:t>arrêt que voici, adopté à cette date :</w:t>
      </w:r>
    </w:p>
    <w:p w:rsidR="00E77CB3" w:rsidRPr="00232ED9" w:rsidRDefault="00E77CB3" w:rsidP="00232ED9">
      <w:pPr>
        <w:pStyle w:val="ECHRTitle1"/>
        <w:rPr>
          <w:lang w:val="fr-FR"/>
        </w:rPr>
      </w:pPr>
      <w:r w:rsidRPr="00232ED9">
        <w:rPr>
          <w:lang w:val="fr-FR"/>
        </w:rPr>
        <w:t>PROCÉDURE</w:t>
      </w:r>
    </w:p>
    <w:p w:rsidR="00BC34B7" w:rsidRPr="00232ED9" w:rsidRDefault="00B741A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w:t>
      </w:r>
      <w:r w:rsidRPr="00232ED9">
        <w:rPr>
          <w:lang w:val="fr-FR"/>
        </w:rPr>
        <w:fldChar w:fldCharType="end"/>
      </w:r>
      <w:r w:rsidRPr="00232ED9">
        <w:rPr>
          <w:lang w:val="fr-FR"/>
        </w:rPr>
        <w:t>.  </w:t>
      </w:r>
      <w:r w:rsidR="00E77CB3" w:rsidRPr="00232ED9">
        <w:rPr>
          <w:lang w:val="fr-FR"/>
        </w:rPr>
        <w:t>À l</w:t>
      </w:r>
      <w:r w:rsidR="00232ED9" w:rsidRPr="00232ED9">
        <w:rPr>
          <w:lang w:val="fr-FR"/>
        </w:rPr>
        <w:t>’</w:t>
      </w:r>
      <w:r w:rsidR="00E77CB3" w:rsidRPr="00232ED9">
        <w:rPr>
          <w:lang w:val="fr-FR"/>
        </w:rPr>
        <w:t>origine de l</w:t>
      </w:r>
      <w:r w:rsidR="00232ED9" w:rsidRPr="00232ED9">
        <w:rPr>
          <w:lang w:val="fr-FR"/>
        </w:rPr>
        <w:t>’</w:t>
      </w:r>
      <w:r w:rsidR="00E77CB3" w:rsidRPr="00232ED9">
        <w:rPr>
          <w:lang w:val="fr-FR"/>
        </w:rPr>
        <w:t xml:space="preserve">affaire </w:t>
      </w:r>
      <w:r w:rsidR="0065595C" w:rsidRPr="00232ED9">
        <w:rPr>
          <w:lang w:val="fr-FR"/>
        </w:rPr>
        <w:t>se trouve une requête (n</w:t>
      </w:r>
      <w:r w:rsidR="0065595C" w:rsidRPr="00232ED9">
        <w:rPr>
          <w:vertAlign w:val="superscript"/>
          <w:lang w:val="fr-FR"/>
        </w:rPr>
        <w:t>o</w:t>
      </w:r>
      <w:r w:rsidR="0065595C" w:rsidRPr="00232ED9">
        <w:rPr>
          <w:lang w:val="fr-FR"/>
        </w:rPr>
        <w:t xml:space="preserve"> 30801/06) dirigée</w:t>
      </w:r>
      <w:r w:rsidR="00E77CB3" w:rsidRPr="00232ED9">
        <w:rPr>
          <w:lang w:val="fr-FR"/>
        </w:rPr>
        <w:t xml:space="preserve"> contre </w:t>
      </w:r>
      <w:r w:rsidR="0065595C" w:rsidRPr="00232ED9">
        <w:rPr>
          <w:lang w:val="fr-FR"/>
        </w:rPr>
        <w:t>la République italienne</w:t>
      </w:r>
      <w:r w:rsidR="00E77CB3" w:rsidRPr="00232ED9">
        <w:rPr>
          <w:lang w:val="fr-FR"/>
        </w:rPr>
        <w:t xml:space="preserve"> et dont </w:t>
      </w:r>
      <w:r w:rsidR="00CA081C" w:rsidRPr="00232ED9">
        <w:rPr>
          <w:lang w:val="fr-FR"/>
        </w:rPr>
        <w:t>trois</w:t>
      </w:r>
      <w:r w:rsidR="0065595C" w:rsidRPr="00232ED9">
        <w:rPr>
          <w:lang w:val="fr-FR"/>
        </w:rPr>
        <w:t xml:space="preserve"> ressortissants de cet</w:t>
      </w:r>
      <w:r w:rsidR="000F15D2" w:rsidRPr="00232ED9">
        <w:rPr>
          <w:lang w:val="fr-FR"/>
        </w:rPr>
        <w:t xml:space="preserve"> État</w:t>
      </w:r>
      <w:r w:rsidR="00DC3C0F" w:rsidRPr="00232ED9">
        <w:rPr>
          <w:lang w:val="fr-FR"/>
        </w:rPr>
        <w:t>, M. </w:t>
      </w:r>
      <w:r w:rsidR="0065595C" w:rsidRPr="00232ED9">
        <w:rPr>
          <w:lang w:val="fr-FR"/>
        </w:rPr>
        <w:t>Calogero Messana et</w:t>
      </w:r>
      <w:r w:rsidR="009D4A8F" w:rsidRPr="00232ED9">
        <w:rPr>
          <w:lang w:val="fr-FR"/>
        </w:rPr>
        <w:t xml:space="preserve"> M</w:t>
      </w:r>
      <w:r w:rsidR="009D4A8F" w:rsidRPr="00232ED9">
        <w:rPr>
          <w:vertAlign w:val="superscript"/>
          <w:lang w:val="fr-FR"/>
        </w:rPr>
        <w:t>mes</w:t>
      </w:r>
      <w:r w:rsidR="009D4A8F" w:rsidRPr="00232ED9">
        <w:rPr>
          <w:lang w:val="fr-FR"/>
        </w:rPr>
        <w:t xml:space="preserve"> Rosa et Giuseppa Marianna Messana</w:t>
      </w:r>
      <w:r w:rsidR="00BC34B7" w:rsidRPr="00232ED9">
        <w:rPr>
          <w:lang w:val="fr-FR"/>
        </w:rPr>
        <w:t xml:space="preserve"> (« les requérants »), ont saisi la Cour le 5 juillet 2006 en vertu de l</w:t>
      </w:r>
      <w:r w:rsidR="00232ED9" w:rsidRPr="00232ED9">
        <w:rPr>
          <w:lang w:val="fr-FR"/>
        </w:rPr>
        <w:t>’</w:t>
      </w:r>
      <w:r w:rsidR="00BC34B7" w:rsidRPr="00232ED9">
        <w:rPr>
          <w:lang w:val="fr-FR"/>
        </w:rPr>
        <w:t>article 34 de la Convention de sauvegarde des droits de l</w:t>
      </w:r>
      <w:r w:rsidR="00232ED9" w:rsidRPr="00232ED9">
        <w:rPr>
          <w:lang w:val="fr-FR"/>
        </w:rPr>
        <w:t>’</w:t>
      </w:r>
      <w:r w:rsidR="00BC34B7" w:rsidRPr="00232ED9">
        <w:rPr>
          <w:lang w:val="fr-FR"/>
        </w:rPr>
        <w:t>homme et des libertés fondamentales (« la Convention »).</w:t>
      </w:r>
    </w:p>
    <w:p w:rsidR="0065595C" w:rsidRPr="00232ED9" w:rsidRDefault="00346F17"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w:t>
      </w:r>
      <w:r w:rsidRPr="00232ED9">
        <w:rPr>
          <w:lang w:val="fr-FR"/>
        </w:rPr>
        <w:fldChar w:fldCharType="end"/>
      </w:r>
      <w:r w:rsidRPr="00232ED9">
        <w:rPr>
          <w:lang w:val="fr-FR"/>
        </w:rPr>
        <w:t>. </w:t>
      </w:r>
      <w:r w:rsidR="00C471FF" w:rsidRPr="00232ED9">
        <w:rPr>
          <w:lang w:val="fr-FR"/>
        </w:rPr>
        <w:t> </w:t>
      </w:r>
      <w:r w:rsidRPr="00232ED9">
        <w:rPr>
          <w:lang w:val="fr-FR"/>
        </w:rPr>
        <w:t>Les requérants ont été représentés </w:t>
      </w:r>
      <w:r w:rsidR="009D4A8F" w:rsidRPr="00232ED9">
        <w:rPr>
          <w:lang w:val="fr-FR"/>
        </w:rPr>
        <w:t xml:space="preserve"> devant la Cour par M</w:t>
      </w:r>
      <w:r w:rsidR="009D4A8F" w:rsidRPr="00232ED9">
        <w:rPr>
          <w:vertAlign w:val="superscript"/>
          <w:lang w:val="fr-FR"/>
        </w:rPr>
        <w:t>e</w:t>
      </w:r>
      <w:r w:rsidR="009D4A8F" w:rsidRPr="00232ED9">
        <w:rPr>
          <w:lang w:val="fr-FR"/>
        </w:rPr>
        <w:t> G. Ingrascí, avocat à Catane, et M</w:t>
      </w:r>
      <w:r w:rsidR="009D4A8F" w:rsidRPr="00232ED9">
        <w:rPr>
          <w:vertAlign w:val="superscript"/>
          <w:lang w:val="fr-FR"/>
        </w:rPr>
        <w:t>e</w:t>
      </w:r>
      <w:r w:rsidR="009D4A8F" w:rsidRPr="00232ED9">
        <w:rPr>
          <w:lang w:val="fr-FR"/>
        </w:rPr>
        <w:t xml:space="preserve"> A. Bozzi,</w:t>
      </w:r>
      <w:r w:rsidRPr="00232ED9">
        <w:rPr>
          <w:lang w:val="fr-FR"/>
        </w:rPr>
        <w:t xml:space="preserve"> avocat à Milan</w:t>
      </w:r>
      <w:r w:rsidR="0065595C" w:rsidRPr="00232ED9">
        <w:rPr>
          <w:lang w:val="fr-FR"/>
        </w:rPr>
        <w:t xml:space="preserve">. </w:t>
      </w:r>
      <w:r w:rsidR="00796B7B" w:rsidRPr="00232ED9">
        <w:rPr>
          <w:lang w:val="pt-BR"/>
        </w:rPr>
        <w:t xml:space="preserve">Le gouvernement italien (« le Gouvernement ») a été représenté par son agent, </w:t>
      </w:r>
      <w:r w:rsidR="00796B7B" w:rsidRPr="00232ED9">
        <w:rPr>
          <w:color w:val="000000"/>
          <w:lang w:val="fr-FR"/>
        </w:rPr>
        <w:t>M</w:t>
      </w:r>
      <w:r w:rsidR="00796B7B" w:rsidRPr="00232ED9">
        <w:rPr>
          <w:color w:val="000000"/>
          <w:vertAlign w:val="superscript"/>
          <w:lang w:val="fr-FR"/>
        </w:rPr>
        <w:t>me</w:t>
      </w:r>
      <w:r w:rsidR="00796B7B" w:rsidRPr="00232ED9">
        <w:rPr>
          <w:color w:val="000000"/>
          <w:lang w:val="fr-FR"/>
        </w:rPr>
        <w:t xml:space="preserve"> E. Spatafora, son ancien coagent M. N. Lettieri, et </w:t>
      </w:r>
      <w:r w:rsidR="00796B7B" w:rsidRPr="00232ED9">
        <w:rPr>
          <w:lang w:val="fr-FR"/>
        </w:rPr>
        <w:t>s</w:t>
      </w:r>
      <w:r w:rsidR="00BD50DA" w:rsidRPr="00232ED9">
        <w:rPr>
          <w:lang w:val="fr-FR"/>
        </w:rPr>
        <w:t>on</w:t>
      </w:r>
      <w:r w:rsidR="00796B7B" w:rsidRPr="00232ED9">
        <w:rPr>
          <w:lang w:val="fr-FR"/>
        </w:rPr>
        <w:t xml:space="preserve"> coagent M</w:t>
      </w:r>
      <w:r w:rsidR="00796B7B" w:rsidRPr="00232ED9">
        <w:rPr>
          <w:vertAlign w:val="superscript"/>
          <w:lang w:val="fr-FR"/>
        </w:rPr>
        <w:t>me </w:t>
      </w:r>
      <w:r w:rsidR="00796B7B" w:rsidRPr="00232ED9">
        <w:rPr>
          <w:lang w:val="fr-FR"/>
        </w:rPr>
        <w:t>P. Accardo.</w:t>
      </w:r>
    </w:p>
    <w:p w:rsidR="00E77CB3" w:rsidRPr="00232ED9" w:rsidRDefault="0065595C" w:rsidP="00232ED9">
      <w:pPr>
        <w:pStyle w:val="ECHRPara"/>
        <w:rPr>
          <w:szCs w:val="24"/>
          <w:lang w:val="fr-FR" w:eastAsia="en-GB"/>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3</w:t>
      </w:r>
      <w:r w:rsidRPr="00232ED9">
        <w:rPr>
          <w:lang w:val="fr-FR"/>
        </w:rPr>
        <w:fldChar w:fldCharType="end"/>
      </w:r>
      <w:r w:rsidR="00E77CB3" w:rsidRPr="00232ED9">
        <w:rPr>
          <w:lang w:val="fr-FR"/>
        </w:rPr>
        <w:t>.  </w:t>
      </w:r>
      <w:r w:rsidRPr="00232ED9">
        <w:rPr>
          <w:lang w:val="fr-FR"/>
        </w:rPr>
        <w:t xml:space="preserve">Le </w:t>
      </w:r>
      <w:r w:rsidRPr="00232ED9">
        <w:rPr>
          <w:szCs w:val="24"/>
          <w:lang w:val="fr-FR"/>
        </w:rPr>
        <w:t>29 mai 2007</w:t>
      </w:r>
      <w:r w:rsidR="00E77CB3" w:rsidRPr="00232ED9">
        <w:rPr>
          <w:lang w:val="fr-FR"/>
        </w:rPr>
        <w:t xml:space="preserve">, </w:t>
      </w:r>
      <w:r w:rsidRPr="00232ED9">
        <w:rPr>
          <w:lang w:val="fr-FR"/>
        </w:rPr>
        <w:t>la requête a été communiquée au Gouvernement</w:t>
      </w:r>
      <w:r w:rsidR="00C1262B" w:rsidRPr="00232ED9">
        <w:rPr>
          <w:lang w:val="fr-FR"/>
        </w:rPr>
        <w:t>.</w:t>
      </w:r>
    </w:p>
    <w:p w:rsidR="00E77CB3" w:rsidRPr="00232ED9" w:rsidRDefault="00E77CB3" w:rsidP="00232ED9">
      <w:pPr>
        <w:pStyle w:val="ECHRTitle1"/>
        <w:tabs>
          <w:tab w:val="left" w:pos="5387"/>
        </w:tabs>
        <w:rPr>
          <w:lang w:val="fr-FR"/>
        </w:rPr>
      </w:pPr>
      <w:r w:rsidRPr="00232ED9">
        <w:rPr>
          <w:lang w:val="fr-FR"/>
        </w:rPr>
        <w:t>EN FAIT</w:t>
      </w:r>
    </w:p>
    <w:p w:rsidR="00E77CB3" w:rsidRPr="00232ED9" w:rsidRDefault="00E77CB3" w:rsidP="00232ED9">
      <w:pPr>
        <w:pStyle w:val="ECHRHeading1"/>
        <w:rPr>
          <w:lang w:val="fr-FR"/>
        </w:rPr>
      </w:pPr>
      <w:r w:rsidRPr="00232ED9">
        <w:rPr>
          <w:lang w:val="fr-FR"/>
        </w:rPr>
        <w:t>I.  LES CIRCONSTANCES DE L</w:t>
      </w:r>
      <w:r w:rsidR="00232ED9" w:rsidRPr="00232ED9">
        <w:rPr>
          <w:lang w:val="fr-FR"/>
        </w:rPr>
        <w:t>’</w:t>
      </w:r>
      <w:r w:rsidRPr="00232ED9">
        <w:rPr>
          <w:lang w:val="fr-FR"/>
        </w:rPr>
        <w:t>ESPÈCE</w:t>
      </w:r>
    </w:p>
    <w:p w:rsidR="00D4706F" w:rsidRPr="00232ED9" w:rsidRDefault="0065595C"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4</w:t>
      </w:r>
      <w:r w:rsidRPr="00232ED9">
        <w:rPr>
          <w:lang w:val="fr-FR"/>
        </w:rPr>
        <w:fldChar w:fldCharType="end"/>
      </w:r>
      <w:r w:rsidR="00E77CB3" w:rsidRPr="00232ED9">
        <w:rPr>
          <w:lang w:val="fr-FR"/>
        </w:rPr>
        <w:t>.  </w:t>
      </w:r>
      <w:r w:rsidRPr="00232ED9">
        <w:rPr>
          <w:lang w:val="fr-FR"/>
        </w:rPr>
        <w:t xml:space="preserve">Les requérants sont nés respectivement en </w:t>
      </w:r>
      <w:r w:rsidR="00E65D49" w:rsidRPr="00232ED9">
        <w:rPr>
          <w:lang w:val="fr-FR"/>
        </w:rPr>
        <w:t>1946, 1944 et 1948 et réside</w:t>
      </w:r>
      <w:r w:rsidR="001A037E" w:rsidRPr="00232ED9">
        <w:rPr>
          <w:lang w:val="fr-FR"/>
        </w:rPr>
        <w:t>nt à Caltanissetta.</w:t>
      </w:r>
    </w:p>
    <w:p w:rsidR="00873CF5" w:rsidRPr="00232ED9" w:rsidRDefault="0065595C"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5</w:t>
      </w:r>
      <w:r w:rsidRPr="00232ED9">
        <w:rPr>
          <w:lang w:val="fr-FR"/>
        </w:rPr>
        <w:fldChar w:fldCharType="end"/>
      </w:r>
      <w:r w:rsidR="00E77CB3" w:rsidRPr="00232ED9">
        <w:rPr>
          <w:lang w:val="fr-FR"/>
        </w:rPr>
        <w:t>. </w:t>
      </w:r>
      <w:r w:rsidR="00C471FF" w:rsidRPr="00232ED9">
        <w:rPr>
          <w:lang w:val="fr-FR"/>
        </w:rPr>
        <w:t> </w:t>
      </w:r>
      <w:r w:rsidR="00873CF5" w:rsidRPr="00232ED9">
        <w:rPr>
          <w:lang w:val="fr-FR"/>
        </w:rPr>
        <w:t>Les requérants étaient copropriétaires de deux terrains constructibles de 7 030 et 1 020 m² respectivement, sis à Canicattí et enregistrés au cadastre feuille 67, parcelles 217, 230 et 224 et feuille 67, parcelle 215.</w:t>
      </w:r>
    </w:p>
    <w:p w:rsidR="00873CF5" w:rsidRPr="00232ED9" w:rsidRDefault="00873CF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6</w:t>
      </w:r>
      <w:r w:rsidRPr="00232ED9">
        <w:rPr>
          <w:lang w:val="fr-FR"/>
        </w:rPr>
        <w:fldChar w:fldCharType="end"/>
      </w:r>
      <w:r w:rsidRPr="00232ED9">
        <w:rPr>
          <w:lang w:val="fr-FR"/>
        </w:rPr>
        <w:t xml:space="preserve">.  Par </w:t>
      </w:r>
      <w:r w:rsidR="0025575A" w:rsidRPr="00232ED9">
        <w:rPr>
          <w:lang w:val="fr-FR"/>
        </w:rPr>
        <w:t>deux</w:t>
      </w:r>
      <w:r w:rsidRPr="00232ED9">
        <w:rPr>
          <w:lang w:val="fr-FR"/>
        </w:rPr>
        <w:t xml:space="preserve"> arrêtés des 14 janvier 1983 et 24 août 1984, la municipalité de Canicattí autorisa une entreprise de construction privée à occuper d</w:t>
      </w:r>
      <w:r w:rsidR="00232ED9" w:rsidRPr="00232ED9">
        <w:rPr>
          <w:lang w:val="fr-FR"/>
        </w:rPr>
        <w:t>’</w:t>
      </w:r>
      <w:r w:rsidRPr="00232ED9">
        <w:rPr>
          <w:lang w:val="fr-FR"/>
        </w:rPr>
        <w:t xml:space="preserve">urgence les terrains des requérants, </w:t>
      </w:r>
      <w:r w:rsidRPr="00232ED9">
        <w:rPr>
          <w:iCs/>
          <w:lang w:val="fr-FR"/>
        </w:rPr>
        <w:t>en vue de leur expropriation,</w:t>
      </w:r>
      <w:r w:rsidRPr="00232ED9">
        <w:rPr>
          <w:lang w:val="fr-FR"/>
        </w:rPr>
        <w:t xml:space="preserve"> afin d</w:t>
      </w:r>
      <w:r w:rsidR="00232ED9" w:rsidRPr="00232ED9">
        <w:rPr>
          <w:lang w:val="fr-FR"/>
        </w:rPr>
        <w:t>’</w:t>
      </w:r>
      <w:r w:rsidRPr="00232ED9">
        <w:rPr>
          <w:lang w:val="fr-FR"/>
        </w:rPr>
        <w:t>y construire des habitations à loyer modéré (HLM).</w:t>
      </w:r>
    </w:p>
    <w:p w:rsidR="00873CF5" w:rsidRPr="00232ED9" w:rsidRDefault="00873CF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7</w:t>
      </w:r>
      <w:r w:rsidRPr="00232ED9">
        <w:rPr>
          <w:lang w:val="fr-FR"/>
        </w:rPr>
        <w:fldChar w:fldCharType="end"/>
      </w:r>
      <w:r w:rsidRPr="00232ED9">
        <w:rPr>
          <w:lang w:val="fr-FR"/>
        </w:rPr>
        <w:t>.  Les terrains furent occupés les 16 février 1983 et 20 septembre 1984 respectivement et les travaux de construction s</w:t>
      </w:r>
      <w:r w:rsidR="00232ED9" w:rsidRPr="00232ED9">
        <w:rPr>
          <w:lang w:val="fr-FR"/>
        </w:rPr>
        <w:t>’</w:t>
      </w:r>
      <w:r w:rsidR="00DC3C0F" w:rsidRPr="00232ED9">
        <w:rPr>
          <w:lang w:val="fr-FR"/>
        </w:rPr>
        <w:t>achevèrent le 3 décembre </w:t>
      </w:r>
      <w:r w:rsidRPr="00232ED9">
        <w:rPr>
          <w:lang w:val="fr-FR"/>
        </w:rPr>
        <w:t>1986.</w:t>
      </w:r>
    </w:p>
    <w:p w:rsidR="00DC3C0F" w:rsidRPr="00232ED9" w:rsidRDefault="00DE40E8" w:rsidP="00232ED9">
      <w:pPr>
        <w:pStyle w:val="ECHRHeading2"/>
        <w:rPr>
          <w:lang w:val="fr-FR"/>
        </w:rPr>
      </w:pPr>
      <w:r w:rsidRPr="00232ED9">
        <w:rPr>
          <w:lang w:val="fr-FR"/>
        </w:rPr>
        <w:lastRenderedPageBreak/>
        <w:t>A.  </w:t>
      </w:r>
      <w:r w:rsidR="006604A6" w:rsidRPr="00232ED9">
        <w:rPr>
          <w:lang w:val="fr-FR"/>
        </w:rPr>
        <w:t>Procédure concernant l</w:t>
      </w:r>
      <w:r w:rsidR="00232ED9" w:rsidRPr="00232ED9">
        <w:rPr>
          <w:lang w:val="fr-FR"/>
        </w:rPr>
        <w:t>’</w:t>
      </w:r>
      <w:r w:rsidR="006604A6" w:rsidRPr="00232ED9">
        <w:rPr>
          <w:lang w:val="fr-FR"/>
        </w:rPr>
        <w:t>indemnité d</w:t>
      </w:r>
      <w:r w:rsidR="00232ED9" w:rsidRPr="00232ED9">
        <w:rPr>
          <w:lang w:val="fr-FR"/>
        </w:rPr>
        <w:t>’</w:t>
      </w:r>
      <w:r w:rsidR="006604A6" w:rsidRPr="00232ED9">
        <w:rPr>
          <w:lang w:val="fr-FR"/>
        </w:rPr>
        <w:t>expropriation</w:t>
      </w:r>
    </w:p>
    <w:p w:rsidR="00873CF5" w:rsidRPr="00232ED9" w:rsidRDefault="00873CF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8</w:t>
      </w:r>
      <w:r w:rsidRPr="00232ED9">
        <w:rPr>
          <w:lang w:val="fr-FR"/>
        </w:rPr>
        <w:fldChar w:fldCharType="end"/>
      </w:r>
      <w:r w:rsidRPr="00232ED9">
        <w:rPr>
          <w:lang w:val="fr-FR"/>
        </w:rPr>
        <w:t>.  Par des actes notifiés le</w:t>
      </w:r>
      <w:r w:rsidR="008E6717" w:rsidRPr="00232ED9">
        <w:rPr>
          <w:lang w:val="fr-FR"/>
        </w:rPr>
        <w:t>s</w:t>
      </w:r>
      <w:r w:rsidRPr="00232ED9">
        <w:rPr>
          <w:lang w:val="fr-FR"/>
        </w:rPr>
        <w:t xml:space="preserve"> 19 et 29 février 1996, les requérants introduisirent devant le tribunal d</w:t>
      </w:r>
      <w:r w:rsidR="00232ED9" w:rsidRPr="00232ED9">
        <w:rPr>
          <w:lang w:val="fr-FR"/>
        </w:rPr>
        <w:t>’</w:t>
      </w:r>
      <w:r w:rsidRPr="00232ED9">
        <w:rPr>
          <w:lang w:val="fr-FR"/>
        </w:rPr>
        <w:t>Agrige</w:t>
      </w:r>
      <w:r w:rsidR="00D64239" w:rsidRPr="00232ED9">
        <w:rPr>
          <w:lang w:val="fr-FR"/>
        </w:rPr>
        <w:t>nte un recours en dommages</w:t>
      </w:r>
      <w:r w:rsidR="00D64239" w:rsidRPr="00232ED9">
        <w:rPr>
          <w:lang w:val="fr-FR"/>
        </w:rPr>
        <w:noBreakHyphen/>
        <w:t>i</w:t>
      </w:r>
      <w:r w:rsidRPr="00232ED9">
        <w:rPr>
          <w:lang w:val="fr-FR"/>
        </w:rPr>
        <w:t>ntérêts à l</w:t>
      </w:r>
      <w:r w:rsidR="00232ED9" w:rsidRPr="00232ED9">
        <w:rPr>
          <w:lang w:val="fr-FR"/>
        </w:rPr>
        <w:t>’</w:t>
      </w:r>
      <w:r w:rsidRPr="00232ED9">
        <w:rPr>
          <w:lang w:val="fr-FR"/>
        </w:rPr>
        <w:t xml:space="preserve">encontre de la ville de Canicattí et de </w:t>
      </w:r>
      <w:r w:rsidRPr="00232ED9">
        <w:rPr>
          <w:iCs/>
          <w:lang w:val="fr-FR"/>
        </w:rPr>
        <w:t>l</w:t>
      </w:r>
      <w:r w:rsidR="00232ED9" w:rsidRPr="00232ED9">
        <w:rPr>
          <w:iCs/>
          <w:lang w:val="fr-FR"/>
        </w:rPr>
        <w:t>’</w:t>
      </w:r>
      <w:r w:rsidRPr="00232ED9">
        <w:rPr>
          <w:iCs/>
          <w:lang w:val="fr-FR"/>
        </w:rPr>
        <w:t>entreprise de construction.</w:t>
      </w:r>
      <w:r w:rsidRPr="00232ED9">
        <w:rPr>
          <w:lang w:val="fr-FR"/>
        </w:rPr>
        <w:t xml:space="preserve"> Ils alléguaient que l</w:t>
      </w:r>
      <w:r w:rsidR="00232ED9" w:rsidRPr="00232ED9">
        <w:rPr>
          <w:lang w:val="fr-FR"/>
        </w:rPr>
        <w:t>’</w:t>
      </w:r>
      <w:r w:rsidRPr="00232ED9">
        <w:rPr>
          <w:lang w:val="fr-FR"/>
        </w:rPr>
        <w:t>occupation des terrains était illégale et que les travaux de construction s</w:t>
      </w:r>
      <w:r w:rsidR="00232ED9" w:rsidRPr="00232ED9">
        <w:rPr>
          <w:lang w:val="fr-FR"/>
        </w:rPr>
        <w:t>’</w:t>
      </w:r>
      <w:r w:rsidRPr="00232ED9">
        <w:rPr>
          <w:lang w:val="fr-FR"/>
        </w:rPr>
        <w:t>étaient terminés sans procédure d</w:t>
      </w:r>
      <w:r w:rsidR="00232ED9" w:rsidRPr="00232ED9">
        <w:rPr>
          <w:lang w:val="fr-FR"/>
        </w:rPr>
        <w:t>’</w:t>
      </w:r>
      <w:r w:rsidRPr="00232ED9">
        <w:rPr>
          <w:lang w:val="fr-FR"/>
        </w:rPr>
        <w:t>expropriation formelle des terrains. Ils réclamaient une somme correspondant à la valeur vénale des terrains à titre de dédommagement.</w:t>
      </w:r>
    </w:p>
    <w:p w:rsidR="00873CF5" w:rsidRPr="00232ED9" w:rsidRDefault="00946AA2"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9</w:t>
      </w:r>
      <w:r w:rsidRPr="00232ED9">
        <w:rPr>
          <w:lang w:val="fr-FR"/>
        </w:rPr>
        <w:fldChar w:fldCharType="end"/>
      </w:r>
      <w:r w:rsidRPr="00232ED9">
        <w:rPr>
          <w:lang w:val="fr-FR"/>
        </w:rPr>
        <w:t>.  </w:t>
      </w:r>
      <w:r w:rsidR="00873CF5" w:rsidRPr="00232ED9">
        <w:rPr>
          <w:lang w:val="fr-FR"/>
        </w:rPr>
        <w:t>Par un jugement du 7 mai 1998, le tribunal d</w:t>
      </w:r>
      <w:r w:rsidR="00232ED9" w:rsidRPr="00232ED9">
        <w:rPr>
          <w:lang w:val="fr-FR"/>
        </w:rPr>
        <w:t>’</w:t>
      </w:r>
      <w:r w:rsidR="00873CF5" w:rsidRPr="00232ED9">
        <w:rPr>
          <w:lang w:val="fr-FR"/>
        </w:rPr>
        <w:t xml:space="preserve">Agrigente </w:t>
      </w:r>
      <w:r w:rsidR="00DA213D" w:rsidRPr="00232ED9">
        <w:rPr>
          <w:lang w:val="fr-FR"/>
        </w:rPr>
        <w:t>déclara</w:t>
      </w:r>
      <w:r w:rsidR="00873CF5" w:rsidRPr="00232ED9">
        <w:rPr>
          <w:lang w:val="fr-FR"/>
        </w:rPr>
        <w:t xml:space="preserve"> qu</w:t>
      </w:r>
      <w:r w:rsidR="00232ED9" w:rsidRPr="00232ED9">
        <w:rPr>
          <w:lang w:val="fr-FR"/>
        </w:rPr>
        <w:t>’</w:t>
      </w:r>
      <w:r w:rsidR="00873CF5" w:rsidRPr="00232ED9">
        <w:rPr>
          <w:lang w:val="fr-FR"/>
        </w:rPr>
        <w:t>aucune indemnité n</w:t>
      </w:r>
      <w:r w:rsidR="00232ED9" w:rsidRPr="00232ED9">
        <w:rPr>
          <w:lang w:val="fr-FR"/>
        </w:rPr>
        <w:t>’</w:t>
      </w:r>
      <w:r w:rsidR="00873CF5" w:rsidRPr="00232ED9">
        <w:rPr>
          <w:lang w:val="fr-FR"/>
        </w:rPr>
        <w:t>était due aux requérants au motif que l</w:t>
      </w:r>
      <w:r w:rsidR="00232ED9" w:rsidRPr="00232ED9">
        <w:rPr>
          <w:lang w:val="fr-FR"/>
        </w:rPr>
        <w:t>’</w:t>
      </w:r>
      <w:r w:rsidR="00873CF5" w:rsidRPr="00232ED9">
        <w:rPr>
          <w:lang w:val="fr-FR"/>
        </w:rPr>
        <w:t>action en dommages-intérêts était soumise à un délai de prescription de cinq ans commençant à courir à compter du 3 novembre 1988, soit la date d</w:t>
      </w:r>
      <w:r w:rsidR="00232ED9" w:rsidRPr="00232ED9">
        <w:rPr>
          <w:lang w:val="fr-FR"/>
        </w:rPr>
        <w:t>’</w:t>
      </w:r>
      <w:r w:rsidR="00873CF5" w:rsidRPr="00232ED9">
        <w:rPr>
          <w:lang w:val="fr-FR"/>
        </w:rPr>
        <w:t>entrée en vigueur de la loi n</w:t>
      </w:r>
      <w:r w:rsidR="00D4706F" w:rsidRPr="00232ED9">
        <w:rPr>
          <w:vertAlign w:val="superscript"/>
          <w:lang w:val="fr-FR"/>
        </w:rPr>
        <w:t>o</w:t>
      </w:r>
      <w:r w:rsidR="00873CF5" w:rsidRPr="00232ED9">
        <w:rPr>
          <w:lang w:val="fr-FR"/>
        </w:rPr>
        <w:t xml:space="preserve"> 458 de 1988, fixant le principe de l</w:t>
      </w:r>
      <w:r w:rsidR="00232ED9" w:rsidRPr="00232ED9">
        <w:rPr>
          <w:lang w:val="fr-FR"/>
        </w:rPr>
        <w:t>’</w:t>
      </w:r>
      <w:r w:rsidR="00873CF5" w:rsidRPr="00232ED9">
        <w:rPr>
          <w:lang w:val="fr-FR"/>
        </w:rPr>
        <w:t>expropriation indirecte et prévoyant un dédommagement pour les propriétaires des terrains utilisés pour la construction de bâtiments publics.</w:t>
      </w:r>
    </w:p>
    <w:p w:rsidR="00873CF5" w:rsidRPr="00232ED9" w:rsidRDefault="00946AA2"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10</w:t>
      </w:r>
      <w:r w:rsidRPr="00232ED9">
        <w:rPr>
          <w:lang w:val="fr-FR"/>
        </w:rPr>
        <w:fldChar w:fldCharType="end"/>
      </w:r>
      <w:r w:rsidRPr="00232ED9">
        <w:rPr>
          <w:lang w:val="fr-FR"/>
        </w:rPr>
        <w:t>.  </w:t>
      </w:r>
      <w:r w:rsidR="00873CF5" w:rsidRPr="00232ED9">
        <w:rPr>
          <w:lang w:val="fr-FR"/>
        </w:rPr>
        <w:t>Par un acte notifié le 6 mai 1999, les requérants interjetèrent appel de ce jugement devant la cour d</w:t>
      </w:r>
      <w:r w:rsidR="00232ED9" w:rsidRPr="00232ED9">
        <w:rPr>
          <w:lang w:val="fr-FR"/>
        </w:rPr>
        <w:t>’</w:t>
      </w:r>
      <w:r w:rsidR="00873CF5" w:rsidRPr="00232ED9">
        <w:rPr>
          <w:lang w:val="fr-FR"/>
        </w:rPr>
        <w:t>appel de Palerme.</w:t>
      </w:r>
    </w:p>
    <w:bookmarkStart w:id="2" w:name="Expertise"/>
    <w:p w:rsidR="00D4706F" w:rsidRPr="00232ED9" w:rsidRDefault="00873CF5"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11</w:t>
      </w:r>
      <w:r w:rsidRPr="00232ED9">
        <w:fldChar w:fldCharType="end"/>
      </w:r>
      <w:bookmarkEnd w:id="2"/>
      <w:r w:rsidRPr="00232ED9">
        <w:rPr>
          <w:lang w:val="fr-FR"/>
        </w:rPr>
        <w:t>.  Le 14 novembre 2000, une expertise technique ordonnée par la cour d</w:t>
      </w:r>
      <w:r w:rsidR="00232ED9" w:rsidRPr="00232ED9">
        <w:rPr>
          <w:lang w:val="fr-FR"/>
        </w:rPr>
        <w:t>’</w:t>
      </w:r>
      <w:r w:rsidRPr="00232ED9">
        <w:rPr>
          <w:lang w:val="fr-FR"/>
        </w:rPr>
        <w:t>appel fut déposée au greffe. Selon l</w:t>
      </w:r>
      <w:r w:rsidR="00232ED9" w:rsidRPr="00232ED9">
        <w:rPr>
          <w:lang w:val="fr-FR"/>
        </w:rPr>
        <w:t>’</w:t>
      </w:r>
      <w:r w:rsidRPr="00232ED9">
        <w:rPr>
          <w:lang w:val="fr-FR"/>
        </w:rPr>
        <w:t>expert, les dates d</w:t>
      </w:r>
      <w:r w:rsidR="00232ED9" w:rsidRPr="00232ED9">
        <w:rPr>
          <w:lang w:val="fr-FR"/>
        </w:rPr>
        <w:t>’</w:t>
      </w:r>
      <w:r w:rsidRPr="00232ED9">
        <w:rPr>
          <w:lang w:val="fr-FR"/>
        </w:rPr>
        <w:t>expiration des périodes d</w:t>
      </w:r>
      <w:r w:rsidR="00232ED9" w:rsidRPr="00232ED9">
        <w:rPr>
          <w:lang w:val="fr-FR"/>
        </w:rPr>
        <w:t>’</w:t>
      </w:r>
      <w:r w:rsidRPr="00232ED9">
        <w:rPr>
          <w:lang w:val="fr-FR"/>
        </w:rPr>
        <w:t>occupation légitime pour les deux</w:t>
      </w:r>
      <w:r w:rsidR="00232ED9" w:rsidRPr="00232ED9">
        <w:rPr>
          <w:lang w:val="fr-FR"/>
        </w:rPr>
        <w:t xml:space="preserve"> terrains étaient le 14 janvier </w:t>
      </w:r>
      <w:r w:rsidRPr="00232ED9">
        <w:rPr>
          <w:lang w:val="fr-FR"/>
        </w:rPr>
        <w:t>1993 et le 20 septembre 1994 respectivement. L</w:t>
      </w:r>
      <w:r w:rsidR="00DA213D" w:rsidRPr="00232ED9">
        <w:rPr>
          <w:lang w:val="fr-FR"/>
        </w:rPr>
        <w:t>a valeur</w:t>
      </w:r>
      <w:r w:rsidRPr="00232ED9">
        <w:rPr>
          <w:lang w:val="fr-FR"/>
        </w:rPr>
        <w:t xml:space="preserve"> vénale des terrains à </w:t>
      </w:r>
      <w:r w:rsidR="00DA213D" w:rsidRPr="00232ED9">
        <w:rPr>
          <w:lang w:val="fr-FR"/>
        </w:rPr>
        <w:t>ces dates étai</w:t>
      </w:r>
      <w:r w:rsidR="00E17B46" w:rsidRPr="00232ED9">
        <w:rPr>
          <w:lang w:val="fr-FR"/>
        </w:rPr>
        <w:t>t de 1 043 158 716</w:t>
      </w:r>
      <w:r w:rsidRPr="00232ED9">
        <w:rPr>
          <w:lang w:val="fr-FR"/>
        </w:rPr>
        <w:t xml:space="preserve"> ITL</w:t>
      </w:r>
      <w:r w:rsidR="001E18DF" w:rsidRPr="00232ED9">
        <w:rPr>
          <w:lang w:val="fr-FR"/>
        </w:rPr>
        <w:t xml:space="preserve"> (</w:t>
      </w:r>
      <w:r w:rsidR="00F83210" w:rsidRPr="00232ED9">
        <w:rPr>
          <w:lang w:val="fr-FR"/>
        </w:rPr>
        <w:t xml:space="preserve">539 158 </w:t>
      </w:r>
      <w:r w:rsidR="001E18DF" w:rsidRPr="00232ED9">
        <w:rPr>
          <w:lang w:val="fr-FR"/>
        </w:rPr>
        <w:t>EUR)</w:t>
      </w:r>
      <w:r w:rsidRPr="00232ED9">
        <w:rPr>
          <w:lang w:val="fr-FR"/>
        </w:rPr>
        <w:t xml:space="preserve"> pour </w:t>
      </w:r>
      <w:r w:rsidR="00E17B46" w:rsidRPr="00232ED9">
        <w:rPr>
          <w:lang w:val="fr-FR"/>
        </w:rPr>
        <w:t>le premier terrain et de</w:t>
      </w:r>
      <w:r w:rsidR="005917DF" w:rsidRPr="00232ED9">
        <w:rPr>
          <w:lang w:val="fr-FR"/>
        </w:rPr>
        <w:t xml:space="preserve"> </w:t>
      </w:r>
      <w:r w:rsidR="00E17B46" w:rsidRPr="00232ED9">
        <w:rPr>
          <w:lang w:val="fr-FR"/>
        </w:rPr>
        <w:t>142 930 976</w:t>
      </w:r>
      <w:r w:rsidRPr="00232ED9">
        <w:rPr>
          <w:lang w:val="fr-FR"/>
        </w:rPr>
        <w:t xml:space="preserve"> ITL </w:t>
      </w:r>
      <w:r w:rsidR="001E18DF" w:rsidRPr="00232ED9">
        <w:rPr>
          <w:lang w:val="fr-FR"/>
        </w:rPr>
        <w:t>(</w:t>
      </w:r>
      <w:r w:rsidR="00437813" w:rsidRPr="00232ED9">
        <w:rPr>
          <w:lang w:val="fr-FR"/>
        </w:rPr>
        <w:t xml:space="preserve">73 817 </w:t>
      </w:r>
      <w:r w:rsidR="001E18DF" w:rsidRPr="00232ED9">
        <w:rPr>
          <w:lang w:val="fr-FR"/>
        </w:rPr>
        <w:t xml:space="preserve">EUR) </w:t>
      </w:r>
      <w:r w:rsidRPr="00232ED9">
        <w:rPr>
          <w:lang w:val="fr-FR"/>
        </w:rPr>
        <w:t>pour le second. Faisant application des critères introduits par la loi n</w:t>
      </w:r>
      <w:r w:rsidR="00D4706F" w:rsidRPr="00232ED9">
        <w:rPr>
          <w:vertAlign w:val="superscript"/>
          <w:lang w:val="fr-FR"/>
        </w:rPr>
        <w:t>o</w:t>
      </w:r>
      <w:r w:rsidRPr="00232ED9">
        <w:rPr>
          <w:vertAlign w:val="superscript"/>
          <w:lang w:val="fr-FR"/>
        </w:rPr>
        <w:t xml:space="preserve"> </w:t>
      </w:r>
      <w:r w:rsidRPr="00232ED9">
        <w:rPr>
          <w:lang w:val="fr-FR"/>
        </w:rPr>
        <w:t>662 de 1996, l</w:t>
      </w:r>
      <w:r w:rsidR="00232ED9" w:rsidRPr="00232ED9">
        <w:rPr>
          <w:lang w:val="fr-FR"/>
        </w:rPr>
        <w:t>’</w:t>
      </w:r>
      <w:r w:rsidRPr="00232ED9">
        <w:rPr>
          <w:lang w:val="fr-FR"/>
        </w:rPr>
        <w:t>expert calcula que</w:t>
      </w:r>
      <w:r w:rsidR="00BF1A59" w:rsidRPr="00232ED9">
        <w:rPr>
          <w:lang w:val="fr-FR"/>
        </w:rPr>
        <w:t xml:space="preserve"> l</w:t>
      </w:r>
      <w:r w:rsidR="00232ED9" w:rsidRPr="00232ED9">
        <w:rPr>
          <w:lang w:val="fr-FR"/>
        </w:rPr>
        <w:t>’</w:t>
      </w:r>
      <w:r w:rsidR="00BF1A59" w:rsidRPr="00232ED9">
        <w:rPr>
          <w:lang w:val="fr-FR"/>
        </w:rPr>
        <w:t>indemnité</w:t>
      </w:r>
      <w:r w:rsidR="0020397A" w:rsidRPr="00232ED9">
        <w:rPr>
          <w:lang w:val="fr-FR"/>
        </w:rPr>
        <w:t xml:space="preserve"> due aux requérants</w:t>
      </w:r>
      <w:r w:rsidR="00BF1A59" w:rsidRPr="00232ED9">
        <w:rPr>
          <w:lang w:val="fr-FR"/>
        </w:rPr>
        <w:t xml:space="preserve"> était de 573</w:t>
      </w:r>
      <w:r w:rsidR="004B0396" w:rsidRPr="00232ED9">
        <w:rPr>
          <w:lang w:val="fr-FR"/>
        </w:rPr>
        <w:t> </w:t>
      </w:r>
      <w:r w:rsidR="00BF1A59" w:rsidRPr="00232ED9">
        <w:rPr>
          <w:lang w:val="fr-FR"/>
        </w:rPr>
        <w:t>737</w:t>
      </w:r>
      <w:r w:rsidR="004B0396" w:rsidRPr="00232ED9">
        <w:rPr>
          <w:lang w:val="fr-FR"/>
        </w:rPr>
        <w:t xml:space="preserve"> </w:t>
      </w:r>
      <w:r w:rsidR="00BF1A59" w:rsidRPr="00232ED9">
        <w:rPr>
          <w:lang w:val="fr-FR"/>
        </w:rPr>
        <w:t>294 ITL</w:t>
      </w:r>
      <w:r w:rsidR="0097314C" w:rsidRPr="00232ED9">
        <w:rPr>
          <w:lang w:val="fr-FR"/>
        </w:rPr>
        <w:t xml:space="preserve"> (</w:t>
      </w:r>
      <w:r w:rsidR="00437813" w:rsidRPr="00232ED9">
        <w:rPr>
          <w:lang w:val="fr-FR"/>
        </w:rPr>
        <w:t>296</w:t>
      </w:r>
      <w:r w:rsidR="00324835" w:rsidRPr="00232ED9">
        <w:rPr>
          <w:lang w:val="fr-FR"/>
        </w:rPr>
        <w:t> </w:t>
      </w:r>
      <w:r w:rsidR="00437813" w:rsidRPr="00232ED9">
        <w:rPr>
          <w:lang w:val="fr-FR"/>
        </w:rPr>
        <w:t>300</w:t>
      </w:r>
      <w:r w:rsidR="00324835" w:rsidRPr="00232ED9">
        <w:rPr>
          <w:lang w:val="fr-FR"/>
        </w:rPr>
        <w:t> </w:t>
      </w:r>
      <w:r w:rsidR="0097314C" w:rsidRPr="00232ED9">
        <w:rPr>
          <w:lang w:val="fr-FR"/>
        </w:rPr>
        <w:t>EUR)</w:t>
      </w:r>
      <w:r w:rsidR="00BF1A59" w:rsidRPr="00232ED9">
        <w:rPr>
          <w:lang w:val="fr-FR"/>
        </w:rPr>
        <w:t xml:space="preserve"> pour le prem</w:t>
      </w:r>
      <w:r w:rsidR="004B0396" w:rsidRPr="00232ED9">
        <w:rPr>
          <w:lang w:val="fr-FR"/>
        </w:rPr>
        <w:t xml:space="preserve">ier terrain et de </w:t>
      </w:r>
      <w:r w:rsidR="0081035A" w:rsidRPr="00232ED9">
        <w:rPr>
          <w:lang w:val="fr-FR"/>
        </w:rPr>
        <w:t>78 612 037</w:t>
      </w:r>
      <w:r w:rsidR="004B0396" w:rsidRPr="00232ED9">
        <w:rPr>
          <w:lang w:val="fr-FR"/>
        </w:rPr>
        <w:t> ITL</w:t>
      </w:r>
      <w:r w:rsidR="0097314C" w:rsidRPr="00232ED9">
        <w:rPr>
          <w:lang w:val="fr-FR"/>
        </w:rPr>
        <w:t xml:space="preserve"> (</w:t>
      </w:r>
      <w:r w:rsidR="00372E21" w:rsidRPr="00232ED9">
        <w:rPr>
          <w:lang w:val="fr-FR"/>
        </w:rPr>
        <w:t>40 599</w:t>
      </w:r>
      <w:r w:rsidR="0097314C" w:rsidRPr="00232ED9">
        <w:rPr>
          <w:lang w:val="fr-FR"/>
        </w:rPr>
        <w:t xml:space="preserve"> EUR)</w:t>
      </w:r>
      <w:r w:rsidR="00BF1A59" w:rsidRPr="00232ED9">
        <w:rPr>
          <w:lang w:val="fr-FR"/>
        </w:rPr>
        <w:t xml:space="preserve"> pour le </w:t>
      </w:r>
      <w:r w:rsidR="0020397A" w:rsidRPr="00232ED9">
        <w:rPr>
          <w:lang w:val="fr-FR"/>
        </w:rPr>
        <w:t>second</w:t>
      </w:r>
      <w:r w:rsidR="00BF1A59" w:rsidRPr="00232ED9">
        <w:rPr>
          <w:lang w:val="fr-FR"/>
        </w:rPr>
        <w:t>.</w:t>
      </w:r>
    </w:p>
    <w:bookmarkStart w:id="3" w:name="Cour_appel_palerme"/>
    <w:p w:rsidR="00873CF5" w:rsidRPr="00232ED9" w:rsidRDefault="00873CF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12</w:t>
      </w:r>
      <w:r w:rsidRPr="00232ED9">
        <w:rPr>
          <w:lang w:val="fr-FR"/>
        </w:rPr>
        <w:fldChar w:fldCharType="end"/>
      </w:r>
      <w:bookmarkEnd w:id="3"/>
      <w:r w:rsidRPr="00232ED9">
        <w:rPr>
          <w:lang w:val="fr-FR"/>
        </w:rPr>
        <w:t>.  Par un arrêt du 6 décembre</w:t>
      </w:r>
      <w:r w:rsidR="000D2562" w:rsidRPr="00232ED9">
        <w:rPr>
          <w:lang w:val="fr-FR"/>
        </w:rPr>
        <w:t> </w:t>
      </w:r>
      <w:r w:rsidRPr="00232ED9">
        <w:rPr>
          <w:lang w:val="fr-FR"/>
        </w:rPr>
        <w:t>2004, la cour d</w:t>
      </w:r>
      <w:r w:rsidR="00232ED9" w:rsidRPr="00232ED9">
        <w:rPr>
          <w:lang w:val="fr-FR"/>
        </w:rPr>
        <w:t>’</w:t>
      </w:r>
      <w:r w:rsidRPr="00232ED9">
        <w:rPr>
          <w:lang w:val="fr-FR"/>
        </w:rPr>
        <w:t>appel</w:t>
      </w:r>
      <w:r w:rsidR="004F7831" w:rsidRPr="00232ED9">
        <w:rPr>
          <w:lang w:val="fr-FR"/>
        </w:rPr>
        <w:t xml:space="preserve"> de Palerme</w:t>
      </w:r>
      <w:r w:rsidR="00F6289C" w:rsidRPr="00232ED9">
        <w:rPr>
          <w:lang w:val="fr-FR"/>
        </w:rPr>
        <w:t xml:space="preserve"> releva que l</w:t>
      </w:r>
      <w:r w:rsidR="00232ED9" w:rsidRPr="00232ED9">
        <w:rPr>
          <w:lang w:val="fr-FR"/>
        </w:rPr>
        <w:t>’</w:t>
      </w:r>
      <w:r w:rsidR="00F6289C" w:rsidRPr="00232ED9">
        <w:rPr>
          <w:lang w:val="fr-FR"/>
        </w:rPr>
        <w:t xml:space="preserve">occupation légitime avait pris fin </w:t>
      </w:r>
      <w:r w:rsidRPr="00232ED9">
        <w:rPr>
          <w:lang w:val="fr-FR"/>
        </w:rPr>
        <w:t>les 14 janvier 1993 et le 20 septembre 1994</w:t>
      </w:r>
      <w:r w:rsidR="00F6289C" w:rsidRPr="00232ED9">
        <w:rPr>
          <w:lang w:val="fr-FR"/>
        </w:rPr>
        <w:t xml:space="preserve"> et</w:t>
      </w:r>
      <w:r w:rsidR="00710171" w:rsidRPr="00232ED9">
        <w:rPr>
          <w:lang w:val="fr-FR"/>
        </w:rPr>
        <w:t>, en faisant application du principe de l</w:t>
      </w:r>
      <w:r w:rsidR="00232ED9" w:rsidRPr="00232ED9">
        <w:rPr>
          <w:lang w:val="fr-FR"/>
        </w:rPr>
        <w:t>’</w:t>
      </w:r>
      <w:r w:rsidR="00710171" w:rsidRPr="00232ED9">
        <w:rPr>
          <w:lang w:val="fr-FR"/>
        </w:rPr>
        <w:t>expropriation indirecte,</w:t>
      </w:r>
      <w:r w:rsidR="00F6289C" w:rsidRPr="00232ED9">
        <w:rPr>
          <w:lang w:val="fr-FR"/>
        </w:rPr>
        <w:t xml:space="preserve"> considéra les requérants privés de leurs terrains à compter de ce</w:t>
      </w:r>
      <w:r w:rsidR="003B4BB8" w:rsidRPr="00232ED9">
        <w:rPr>
          <w:lang w:val="fr-FR"/>
        </w:rPr>
        <w:t>s</w:t>
      </w:r>
      <w:r w:rsidR="00F6289C" w:rsidRPr="00232ED9">
        <w:rPr>
          <w:lang w:val="fr-FR"/>
        </w:rPr>
        <w:t xml:space="preserve"> date</w:t>
      </w:r>
      <w:r w:rsidR="003B4BB8" w:rsidRPr="00232ED9">
        <w:rPr>
          <w:lang w:val="fr-FR"/>
        </w:rPr>
        <w:t>s</w:t>
      </w:r>
      <w:r w:rsidR="00F6289C" w:rsidRPr="00232ED9">
        <w:rPr>
          <w:lang w:val="fr-FR"/>
        </w:rPr>
        <w:t>. Elle considéra également que le délai de prescription de cinq ans avait commencé à courir à partir de cette même date.</w:t>
      </w:r>
      <w:r w:rsidR="009B0886" w:rsidRPr="00232ED9">
        <w:rPr>
          <w:lang w:val="fr-FR"/>
        </w:rPr>
        <w:t xml:space="preserve"> Les recours en dommages </w:t>
      </w:r>
      <w:r w:rsidR="009B0886" w:rsidRPr="00232ED9">
        <w:rPr>
          <w:lang w:val="fr-FR"/>
        </w:rPr>
        <w:noBreakHyphen/>
        <w:t> </w:t>
      </w:r>
      <w:r w:rsidRPr="00232ED9">
        <w:rPr>
          <w:lang w:val="fr-FR"/>
        </w:rPr>
        <w:t>intérêts ayant été introduits devant le tribunal d</w:t>
      </w:r>
      <w:r w:rsidR="00232ED9" w:rsidRPr="00232ED9">
        <w:rPr>
          <w:lang w:val="fr-FR"/>
        </w:rPr>
        <w:t>’</w:t>
      </w:r>
      <w:r w:rsidRPr="00232ED9">
        <w:rPr>
          <w:lang w:val="fr-FR"/>
        </w:rPr>
        <w:t>Agrigente en 1996, elle estima que le droit des intéressés n</w:t>
      </w:r>
      <w:r w:rsidR="00232ED9" w:rsidRPr="00232ED9">
        <w:rPr>
          <w:lang w:val="fr-FR"/>
        </w:rPr>
        <w:t>’</w:t>
      </w:r>
      <w:r w:rsidRPr="00232ED9">
        <w:rPr>
          <w:lang w:val="fr-FR"/>
        </w:rPr>
        <w:t>était pas prescrit.</w:t>
      </w:r>
      <w:r w:rsidR="00DC3C0F" w:rsidRPr="00232ED9">
        <w:rPr>
          <w:lang w:val="fr-FR"/>
        </w:rPr>
        <w:t xml:space="preserve"> </w:t>
      </w:r>
      <w:r w:rsidRPr="00232ED9">
        <w:rPr>
          <w:lang w:val="fr-FR"/>
        </w:rPr>
        <w:t>Par conséquent, en application de la loi n</w:t>
      </w:r>
      <w:r w:rsidR="00D4706F" w:rsidRPr="00232ED9">
        <w:rPr>
          <w:vertAlign w:val="superscript"/>
          <w:lang w:val="fr-FR"/>
        </w:rPr>
        <w:t>o</w:t>
      </w:r>
      <w:r w:rsidR="00061B22" w:rsidRPr="00232ED9">
        <w:rPr>
          <w:vertAlign w:val="superscript"/>
          <w:lang w:val="fr-FR"/>
        </w:rPr>
        <w:t> </w:t>
      </w:r>
      <w:r w:rsidRPr="00232ED9">
        <w:rPr>
          <w:lang w:val="fr-FR"/>
        </w:rPr>
        <w:t>662 de 1996, la cour d</w:t>
      </w:r>
      <w:r w:rsidR="00232ED9" w:rsidRPr="00232ED9">
        <w:rPr>
          <w:lang w:val="fr-FR"/>
        </w:rPr>
        <w:t>’</w:t>
      </w:r>
      <w:r w:rsidRPr="00232ED9">
        <w:rPr>
          <w:lang w:val="fr-FR"/>
        </w:rPr>
        <w:t>appel condamna la municipalité de Canicattí et l</w:t>
      </w:r>
      <w:r w:rsidR="00232ED9" w:rsidRPr="00232ED9">
        <w:rPr>
          <w:lang w:val="fr-FR"/>
        </w:rPr>
        <w:t>’</w:t>
      </w:r>
      <w:r w:rsidRPr="00232ED9">
        <w:rPr>
          <w:lang w:val="fr-FR"/>
        </w:rPr>
        <w:t>entreprise de construction à verser aux requérants la somme globale de</w:t>
      </w:r>
      <w:r w:rsidR="00BE0EFF" w:rsidRPr="00232ED9">
        <w:rPr>
          <w:lang w:val="fr-FR"/>
        </w:rPr>
        <w:t xml:space="preserve"> 892 412 578 ITL</w:t>
      </w:r>
      <w:r w:rsidRPr="00232ED9">
        <w:rPr>
          <w:lang w:val="fr-FR"/>
        </w:rPr>
        <w:t xml:space="preserve"> </w:t>
      </w:r>
      <w:r w:rsidR="00BE0EFF" w:rsidRPr="00232ED9">
        <w:rPr>
          <w:lang w:val="fr-FR"/>
        </w:rPr>
        <w:t>(</w:t>
      </w:r>
      <w:r w:rsidRPr="00232ED9">
        <w:rPr>
          <w:lang w:val="fr-FR"/>
        </w:rPr>
        <w:t>460 892,63 EUR</w:t>
      </w:r>
      <w:r w:rsidR="00BE0EFF" w:rsidRPr="00232ED9">
        <w:rPr>
          <w:lang w:val="fr-FR"/>
        </w:rPr>
        <w:t>)</w:t>
      </w:r>
      <w:r w:rsidRPr="00232ED9">
        <w:rPr>
          <w:lang w:val="fr-FR"/>
        </w:rPr>
        <w:t xml:space="preserve">, </w:t>
      </w:r>
      <w:r w:rsidR="00DA213D" w:rsidRPr="00232ED9">
        <w:rPr>
          <w:lang w:val="fr-FR"/>
        </w:rPr>
        <w:t>correspondant aux s</w:t>
      </w:r>
      <w:r w:rsidRPr="00232ED9">
        <w:rPr>
          <w:lang w:val="fr-FR"/>
        </w:rPr>
        <w:t>omme</w:t>
      </w:r>
      <w:r w:rsidR="008861C3" w:rsidRPr="00232ED9">
        <w:rPr>
          <w:lang w:val="fr-FR"/>
        </w:rPr>
        <w:t>s</w:t>
      </w:r>
      <w:r w:rsidRPr="00232ED9">
        <w:rPr>
          <w:lang w:val="fr-FR"/>
        </w:rPr>
        <w:t xml:space="preserve"> fixée</w:t>
      </w:r>
      <w:r w:rsidR="005865B9" w:rsidRPr="00232ED9">
        <w:rPr>
          <w:lang w:val="fr-FR"/>
        </w:rPr>
        <w:t>s</w:t>
      </w:r>
      <w:r w:rsidRPr="00232ED9">
        <w:rPr>
          <w:lang w:val="fr-FR"/>
        </w:rPr>
        <w:t xml:space="preserve"> par l</w:t>
      </w:r>
      <w:r w:rsidR="00232ED9" w:rsidRPr="00232ED9">
        <w:rPr>
          <w:lang w:val="fr-FR"/>
        </w:rPr>
        <w:t>’</w:t>
      </w:r>
      <w:r w:rsidRPr="00232ED9">
        <w:rPr>
          <w:lang w:val="fr-FR"/>
        </w:rPr>
        <w:t>expert</w:t>
      </w:r>
      <w:r w:rsidR="00426322" w:rsidRPr="00232ED9">
        <w:rPr>
          <w:lang w:val="fr-FR"/>
        </w:rPr>
        <w:t>,</w:t>
      </w:r>
      <w:r w:rsidRPr="00232ED9">
        <w:rPr>
          <w:lang w:val="fr-FR"/>
        </w:rPr>
        <w:t xml:space="preserve"> réévaluée</w:t>
      </w:r>
      <w:r w:rsidR="005865B9" w:rsidRPr="00232ED9">
        <w:rPr>
          <w:lang w:val="fr-FR"/>
        </w:rPr>
        <w:t>s</w:t>
      </w:r>
      <w:r w:rsidR="003979E9" w:rsidRPr="00232ED9">
        <w:rPr>
          <w:lang w:val="fr-FR"/>
        </w:rPr>
        <w:t xml:space="preserve"> </w:t>
      </w:r>
      <w:r w:rsidR="00DA213D" w:rsidRPr="00232ED9">
        <w:rPr>
          <w:lang w:val="fr-FR"/>
        </w:rPr>
        <w:t>à</w:t>
      </w:r>
      <w:r w:rsidR="003979E9" w:rsidRPr="00232ED9">
        <w:rPr>
          <w:lang w:val="fr-FR"/>
        </w:rPr>
        <w:t xml:space="preserve"> la date de l</w:t>
      </w:r>
      <w:r w:rsidR="00232ED9" w:rsidRPr="00232ED9">
        <w:rPr>
          <w:lang w:val="fr-FR"/>
        </w:rPr>
        <w:t>’</w:t>
      </w:r>
      <w:r w:rsidR="003979E9" w:rsidRPr="00232ED9">
        <w:rPr>
          <w:lang w:val="fr-FR"/>
        </w:rPr>
        <w:t>arrêt</w:t>
      </w:r>
      <w:r w:rsidR="00FA2F61" w:rsidRPr="00232ED9">
        <w:rPr>
          <w:lang w:val="fr-FR"/>
        </w:rPr>
        <w:t>.</w:t>
      </w:r>
    </w:p>
    <w:p w:rsidR="00F50726" w:rsidRPr="00232ED9" w:rsidRDefault="006A0471"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13</w:t>
      </w:r>
      <w:r w:rsidRPr="00232ED9">
        <w:rPr>
          <w:lang w:val="fr-FR"/>
        </w:rPr>
        <w:fldChar w:fldCharType="end"/>
      </w:r>
      <w:r w:rsidRPr="00232ED9">
        <w:rPr>
          <w:lang w:val="fr-FR"/>
        </w:rPr>
        <w:t>.  </w:t>
      </w:r>
      <w:r w:rsidR="00F50726" w:rsidRPr="00232ED9">
        <w:rPr>
          <w:lang w:val="fr-FR"/>
        </w:rPr>
        <w:t xml:space="preserve">Faute de pourvoi en cassation, ledit arrêt devint définitif le </w:t>
      </w:r>
      <w:r w:rsidR="00C82D1F" w:rsidRPr="00232ED9">
        <w:rPr>
          <w:lang w:val="fr-FR"/>
        </w:rPr>
        <w:t>21 </w:t>
      </w:r>
      <w:r w:rsidR="004D68BE" w:rsidRPr="00232ED9">
        <w:rPr>
          <w:lang w:val="fr-FR"/>
        </w:rPr>
        <w:t>janvier</w:t>
      </w:r>
      <w:r w:rsidR="00C82D1F" w:rsidRPr="00232ED9">
        <w:rPr>
          <w:lang w:val="fr-FR"/>
        </w:rPr>
        <w:t> </w:t>
      </w:r>
      <w:r w:rsidR="004D68BE" w:rsidRPr="00232ED9">
        <w:rPr>
          <w:lang w:val="fr-FR"/>
        </w:rPr>
        <w:t>2006</w:t>
      </w:r>
      <w:r w:rsidR="00F50726" w:rsidRPr="00232ED9">
        <w:rPr>
          <w:lang w:val="fr-FR"/>
        </w:rPr>
        <w:t>.</w:t>
      </w:r>
    </w:p>
    <w:p w:rsidR="0024587E" w:rsidRPr="00232ED9" w:rsidRDefault="00DE40E8" w:rsidP="00232ED9">
      <w:pPr>
        <w:pStyle w:val="ECHRHeading2"/>
        <w:rPr>
          <w:lang w:val="fr-FR"/>
        </w:rPr>
      </w:pPr>
      <w:r w:rsidRPr="00232ED9">
        <w:rPr>
          <w:lang w:val="fr-FR"/>
        </w:rPr>
        <w:lastRenderedPageBreak/>
        <w:t>B.  </w:t>
      </w:r>
      <w:r w:rsidR="006A0471" w:rsidRPr="00232ED9">
        <w:rPr>
          <w:lang w:val="fr-FR"/>
        </w:rPr>
        <w:t>Procédure</w:t>
      </w:r>
      <w:r w:rsidR="006604A6" w:rsidRPr="00232ED9">
        <w:rPr>
          <w:lang w:val="fr-FR"/>
        </w:rPr>
        <w:t xml:space="preserve"> </w:t>
      </w:r>
      <w:r w:rsidR="006A0471" w:rsidRPr="00232ED9">
        <w:rPr>
          <w:lang w:val="fr-FR"/>
        </w:rPr>
        <w:t>concernant</w:t>
      </w:r>
      <w:r w:rsidR="006604A6" w:rsidRPr="00232ED9">
        <w:rPr>
          <w:lang w:val="fr-FR"/>
        </w:rPr>
        <w:t xml:space="preserve"> l</w:t>
      </w:r>
      <w:r w:rsidR="00232ED9" w:rsidRPr="00232ED9">
        <w:rPr>
          <w:lang w:val="fr-FR"/>
        </w:rPr>
        <w:t>’</w:t>
      </w:r>
      <w:r w:rsidR="006604A6" w:rsidRPr="00232ED9">
        <w:rPr>
          <w:lang w:val="fr-FR"/>
        </w:rPr>
        <w:t>indemnité d</w:t>
      </w:r>
      <w:r w:rsidR="00232ED9" w:rsidRPr="00232ED9">
        <w:rPr>
          <w:lang w:val="fr-FR"/>
        </w:rPr>
        <w:t>’</w:t>
      </w:r>
      <w:r w:rsidR="006A0471" w:rsidRPr="00232ED9">
        <w:rPr>
          <w:lang w:val="fr-FR"/>
        </w:rPr>
        <w:t>occupation temporaire</w:t>
      </w:r>
    </w:p>
    <w:p w:rsidR="006A0471" w:rsidRPr="00232ED9" w:rsidRDefault="006A047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14</w:t>
      </w:r>
      <w:r w:rsidRPr="00232ED9">
        <w:fldChar w:fldCharType="end"/>
      </w:r>
      <w:r w:rsidRPr="00232ED9">
        <w:rPr>
          <w:lang w:val="fr-FR"/>
        </w:rPr>
        <w:t>.  </w:t>
      </w:r>
      <w:r w:rsidR="007C0249" w:rsidRPr="00232ED9">
        <w:rPr>
          <w:lang w:val="fr-FR"/>
        </w:rPr>
        <w:t>Par un acte d</w:t>
      </w:r>
      <w:r w:rsidR="00232ED9" w:rsidRPr="00232ED9">
        <w:rPr>
          <w:lang w:val="fr-FR"/>
        </w:rPr>
        <w:t>’</w:t>
      </w:r>
      <w:r w:rsidR="007C0249" w:rsidRPr="00232ED9">
        <w:rPr>
          <w:lang w:val="fr-FR"/>
        </w:rPr>
        <w:t>assignation du 9 février 1996, les requérants introduisirent une action à l</w:t>
      </w:r>
      <w:r w:rsidR="00232ED9" w:rsidRPr="00232ED9">
        <w:rPr>
          <w:lang w:val="fr-FR"/>
        </w:rPr>
        <w:t>’</w:t>
      </w:r>
      <w:r w:rsidR="007C0249" w:rsidRPr="00232ED9">
        <w:rPr>
          <w:lang w:val="fr-FR"/>
        </w:rPr>
        <w:t>encontre de la munic</w:t>
      </w:r>
      <w:r w:rsidR="00AE148A" w:rsidRPr="00232ED9">
        <w:rPr>
          <w:lang w:val="fr-FR"/>
        </w:rPr>
        <w:t xml:space="preserve">ipalité de Canicattì devant la </w:t>
      </w:r>
      <w:r w:rsidR="007C0249" w:rsidRPr="00232ED9">
        <w:rPr>
          <w:lang w:val="fr-FR"/>
        </w:rPr>
        <w:t>cour d</w:t>
      </w:r>
      <w:r w:rsidR="00232ED9" w:rsidRPr="00232ED9">
        <w:rPr>
          <w:lang w:val="fr-FR"/>
        </w:rPr>
        <w:t>’</w:t>
      </w:r>
      <w:r w:rsidR="007C0249" w:rsidRPr="00232ED9">
        <w:rPr>
          <w:lang w:val="fr-FR"/>
        </w:rPr>
        <w:t xml:space="preserve">appel de Palerme, en demandant </w:t>
      </w:r>
      <w:r w:rsidR="00501B65" w:rsidRPr="00232ED9">
        <w:rPr>
          <w:lang w:val="fr-FR"/>
        </w:rPr>
        <w:t>l</w:t>
      </w:r>
      <w:r w:rsidR="00232ED9" w:rsidRPr="00232ED9">
        <w:rPr>
          <w:lang w:val="fr-FR"/>
        </w:rPr>
        <w:t>’</w:t>
      </w:r>
      <w:r w:rsidR="00501B65" w:rsidRPr="00232ED9">
        <w:rPr>
          <w:lang w:val="fr-FR"/>
        </w:rPr>
        <w:t>octroi d</w:t>
      </w:r>
      <w:r w:rsidR="00232ED9" w:rsidRPr="00232ED9">
        <w:rPr>
          <w:lang w:val="fr-FR"/>
        </w:rPr>
        <w:t>’</w:t>
      </w:r>
      <w:r w:rsidR="007D50CE" w:rsidRPr="00232ED9">
        <w:rPr>
          <w:lang w:val="fr-FR"/>
        </w:rPr>
        <w:t xml:space="preserve">une </w:t>
      </w:r>
      <w:r w:rsidR="007C0249" w:rsidRPr="00232ED9">
        <w:rPr>
          <w:lang w:val="fr-FR"/>
        </w:rPr>
        <w:t>indemnité d</w:t>
      </w:r>
      <w:r w:rsidR="00232ED9" w:rsidRPr="00232ED9">
        <w:rPr>
          <w:lang w:val="fr-FR"/>
        </w:rPr>
        <w:t>’</w:t>
      </w:r>
      <w:r w:rsidR="007C0249" w:rsidRPr="00232ED9">
        <w:rPr>
          <w:lang w:val="fr-FR"/>
        </w:rPr>
        <w:t>occupation</w:t>
      </w:r>
      <w:r w:rsidR="00501B65" w:rsidRPr="00232ED9">
        <w:rPr>
          <w:lang w:val="fr-FR"/>
        </w:rPr>
        <w:t xml:space="preserve"> temporaire</w:t>
      </w:r>
      <w:r w:rsidR="007C0249" w:rsidRPr="00232ED9">
        <w:rPr>
          <w:lang w:val="fr-FR"/>
        </w:rPr>
        <w:t>.</w:t>
      </w:r>
    </w:p>
    <w:p w:rsidR="00DC3C0F" w:rsidRPr="00232ED9" w:rsidRDefault="00D94BB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15</w:t>
      </w:r>
      <w:r w:rsidRPr="00232ED9">
        <w:rPr>
          <w:lang w:val="fr-FR"/>
        </w:rPr>
        <w:fldChar w:fldCharType="end"/>
      </w:r>
      <w:r w:rsidRPr="00232ED9">
        <w:rPr>
          <w:lang w:val="fr-FR"/>
        </w:rPr>
        <w:t>.  </w:t>
      </w:r>
      <w:r w:rsidR="00D66C0F" w:rsidRPr="00232ED9">
        <w:rPr>
          <w:lang w:val="fr-FR"/>
        </w:rPr>
        <w:t>Par un arrêt du 3 mai 2001, la cour d</w:t>
      </w:r>
      <w:r w:rsidR="00232ED9" w:rsidRPr="00232ED9">
        <w:rPr>
          <w:lang w:val="fr-FR"/>
        </w:rPr>
        <w:t>’</w:t>
      </w:r>
      <w:r w:rsidR="00D66C0F" w:rsidRPr="00232ED9">
        <w:rPr>
          <w:lang w:val="fr-FR"/>
        </w:rPr>
        <w:t>appel de Palerme accorda aux requérants</w:t>
      </w:r>
      <w:r w:rsidR="00EF71C4" w:rsidRPr="00232ED9">
        <w:rPr>
          <w:lang w:val="fr-FR"/>
        </w:rPr>
        <w:t xml:space="preserve">, conjointement, </w:t>
      </w:r>
      <w:r w:rsidR="007D50CE" w:rsidRPr="00232ED9">
        <w:rPr>
          <w:lang w:val="fr-FR"/>
        </w:rPr>
        <w:t xml:space="preserve">ITL </w:t>
      </w:r>
      <w:r w:rsidR="0058066B" w:rsidRPr="00232ED9">
        <w:rPr>
          <w:lang w:val="fr-FR"/>
        </w:rPr>
        <w:t>218 791</w:t>
      </w:r>
      <w:r w:rsidR="00567A33" w:rsidRPr="00232ED9">
        <w:rPr>
          <w:lang w:val="fr-FR"/>
        </w:rPr>
        <w:t> </w:t>
      </w:r>
      <w:r w:rsidR="0058066B" w:rsidRPr="00232ED9">
        <w:rPr>
          <w:lang w:val="fr-FR"/>
        </w:rPr>
        <w:t>424</w:t>
      </w:r>
      <w:r w:rsidR="00567A33" w:rsidRPr="00232ED9">
        <w:rPr>
          <w:lang w:val="fr-FR"/>
        </w:rPr>
        <w:t xml:space="preserve"> (112 996 EUR)</w:t>
      </w:r>
      <w:r w:rsidR="00F65427" w:rsidRPr="00232ED9">
        <w:rPr>
          <w:lang w:val="fr-FR"/>
        </w:rPr>
        <w:t xml:space="preserve"> à titre d</w:t>
      </w:r>
      <w:r w:rsidR="00232ED9" w:rsidRPr="00232ED9">
        <w:rPr>
          <w:lang w:val="fr-FR"/>
        </w:rPr>
        <w:t>’</w:t>
      </w:r>
      <w:r w:rsidR="00F65427" w:rsidRPr="00232ED9">
        <w:rPr>
          <w:lang w:val="fr-FR"/>
        </w:rPr>
        <w:t>indemnité d</w:t>
      </w:r>
      <w:r w:rsidR="00232ED9" w:rsidRPr="00232ED9">
        <w:rPr>
          <w:lang w:val="fr-FR"/>
        </w:rPr>
        <w:t>’</w:t>
      </w:r>
      <w:r w:rsidR="00F65427" w:rsidRPr="00232ED9">
        <w:rPr>
          <w:lang w:val="fr-FR"/>
        </w:rPr>
        <w:t>occupation</w:t>
      </w:r>
      <w:r w:rsidR="00EF71C4" w:rsidRPr="00232ED9">
        <w:rPr>
          <w:lang w:val="fr-FR"/>
        </w:rPr>
        <w:t>, à majorer d</w:t>
      </w:r>
      <w:r w:rsidR="00232ED9" w:rsidRPr="00232ED9">
        <w:rPr>
          <w:lang w:val="fr-FR"/>
        </w:rPr>
        <w:t>’</w:t>
      </w:r>
      <w:r w:rsidR="00EF71C4" w:rsidRPr="00232ED9">
        <w:rPr>
          <w:lang w:val="fr-FR"/>
        </w:rPr>
        <w:t>intérêts jusqu</w:t>
      </w:r>
      <w:r w:rsidR="00232ED9" w:rsidRPr="00232ED9">
        <w:rPr>
          <w:lang w:val="fr-FR"/>
        </w:rPr>
        <w:t>’</w:t>
      </w:r>
      <w:r w:rsidR="00EF71C4" w:rsidRPr="00232ED9">
        <w:rPr>
          <w:lang w:val="fr-FR"/>
        </w:rPr>
        <w:t>à la date de paiement.</w:t>
      </w:r>
    </w:p>
    <w:p w:rsidR="000E6307" w:rsidRPr="00232ED9" w:rsidRDefault="000E6307"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16</w:t>
      </w:r>
      <w:r w:rsidRPr="00232ED9">
        <w:rPr>
          <w:lang w:val="fr-FR"/>
        </w:rPr>
        <w:fldChar w:fldCharType="end"/>
      </w:r>
      <w:r w:rsidRPr="00232ED9">
        <w:rPr>
          <w:lang w:val="fr-FR"/>
        </w:rPr>
        <w:t>.  </w:t>
      </w:r>
      <w:r w:rsidR="004C50A0" w:rsidRPr="00232ED9">
        <w:rPr>
          <w:lang w:val="fr-FR"/>
        </w:rPr>
        <w:t>A</w:t>
      </w:r>
      <w:r w:rsidR="00C774EF" w:rsidRPr="00232ED9">
        <w:rPr>
          <w:lang w:val="fr-FR"/>
        </w:rPr>
        <w:t>vec un mandat de paiement émis le 1</w:t>
      </w:r>
      <w:r w:rsidR="009E1874" w:rsidRPr="00232ED9">
        <w:rPr>
          <w:vertAlign w:val="superscript"/>
          <w:lang w:val="fr-FR"/>
        </w:rPr>
        <w:t>er</w:t>
      </w:r>
      <w:r w:rsidR="009E1874" w:rsidRPr="00232ED9">
        <w:rPr>
          <w:lang w:val="fr-FR"/>
        </w:rPr>
        <w:t xml:space="preserve"> </w:t>
      </w:r>
      <w:r w:rsidR="00C774EF" w:rsidRPr="00232ED9">
        <w:rPr>
          <w:lang w:val="fr-FR"/>
        </w:rPr>
        <w:t>octobre 2003, la municipalité de Canicattì paya aux requérants</w:t>
      </w:r>
      <w:r w:rsidR="004C50A0" w:rsidRPr="00232ED9">
        <w:rPr>
          <w:lang w:val="fr-FR"/>
        </w:rPr>
        <w:t xml:space="preserve"> </w:t>
      </w:r>
      <w:r w:rsidR="00C774EF" w:rsidRPr="00232ED9">
        <w:rPr>
          <w:lang w:val="fr-FR"/>
        </w:rPr>
        <w:t xml:space="preserve">75 279,98 EUR </w:t>
      </w:r>
      <w:r w:rsidR="004C50A0" w:rsidRPr="00232ED9">
        <w:rPr>
          <w:lang w:val="fr-FR"/>
        </w:rPr>
        <w:t>chacun à titre d</w:t>
      </w:r>
      <w:r w:rsidR="00232ED9" w:rsidRPr="00232ED9">
        <w:rPr>
          <w:lang w:val="fr-FR"/>
        </w:rPr>
        <w:t>’</w:t>
      </w:r>
      <w:r w:rsidR="004C50A0" w:rsidRPr="00232ED9">
        <w:rPr>
          <w:lang w:val="fr-FR"/>
        </w:rPr>
        <w:t>indemnité d</w:t>
      </w:r>
      <w:r w:rsidR="00232ED9" w:rsidRPr="00232ED9">
        <w:rPr>
          <w:lang w:val="fr-FR"/>
        </w:rPr>
        <w:t>’</w:t>
      </w:r>
      <w:r w:rsidR="004C50A0" w:rsidRPr="00232ED9">
        <w:rPr>
          <w:lang w:val="fr-FR"/>
        </w:rPr>
        <w:t>occupation temporaire.</w:t>
      </w:r>
    </w:p>
    <w:p w:rsidR="00E77CB3" w:rsidRPr="00232ED9" w:rsidRDefault="00E77CB3" w:rsidP="00232ED9">
      <w:pPr>
        <w:pStyle w:val="ECHRHeading1"/>
        <w:keepNext w:val="0"/>
        <w:keepLines w:val="0"/>
        <w:widowControl w:val="0"/>
        <w:rPr>
          <w:lang w:val="fr-FR"/>
        </w:rPr>
      </w:pPr>
      <w:r w:rsidRPr="00232ED9">
        <w:rPr>
          <w:lang w:val="fr-FR"/>
        </w:rPr>
        <w:t>II.  LE DROIT ET LA PRATIQUE INTERNES PERTINENTS</w:t>
      </w:r>
    </w:p>
    <w:p w:rsidR="00C1736C" w:rsidRPr="00232ED9" w:rsidRDefault="00822214" w:rsidP="00232ED9">
      <w:pPr>
        <w:pStyle w:val="ECHRPara"/>
        <w:widowControl w:val="0"/>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17</w:t>
      </w:r>
      <w:r w:rsidRPr="00232ED9">
        <w:rPr>
          <w:lang w:val="fr-FR"/>
        </w:rPr>
        <w:fldChar w:fldCharType="end"/>
      </w:r>
      <w:r w:rsidRPr="00232ED9">
        <w:rPr>
          <w:lang w:val="fr-FR"/>
        </w:rPr>
        <w:t>.  Pour ce qui est du droit et de la pratique internes pertinents dans la présente affaire, la Cour renvoie à l</w:t>
      </w:r>
      <w:r w:rsidR="00232ED9" w:rsidRPr="00232ED9">
        <w:rPr>
          <w:lang w:val="fr-FR"/>
        </w:rPr>
        <w:t>’</w:t>
      </w:r>
      <w:r w:rsidRPr="00232ED9">
        <w:rPr>
          <w:lang w:val="fr-FR"/>
        </w:rPr>
        <w:t xml:space="preserve">arrêt </w:t>
      </w:r>
      <w:r w:rsidRPr="00232ED9">
        <w:rPr>
          <w:i/>
          <w:lang w:val="fr-FR"/>
        </w:rPr>
        <w:t>Messana c. Italie</w:t>
      </w:r>
      <w:r w:rsidRPr="00232ED9">
        <w:rPr>
          <w:lang w:val="fr-FR"/>
        </w:rPr>
        <w:t>, n</w:t>
      </w:r>
      <w:r w:rsidRPr="00232ED9">
        <w:rPr>
          <w:vertAlign w:val="superscript"/>
          <w:lang w:val="fr-FR"/>
        </w:rPr>
        <w:t>o</w:t>
      </w:r>
      <w:r w:rsidRPr="00232ED9">
        <w:rPr>
          <w:lang w:val="fr-FR"/>
        </w:rPr>
        <w:t xml:space="preserve"> 26128/04, §§ 17-20, 9 février 2017.</w:t>
      </w:r>
    </w:p>
    <w:p w:rsidR="00E77CB3" w:rsidRPr="00232ED9" w:rsidRDefault="00E77CB3" w:rsidP="00232ED9">
      <w:pPr>
        <w:pStyle w:val="ECHRTitle1"/>
        <w:rPr>
          <w:lang w:val="fr-FR"/>
        </w:rPr>
      </w:pPr>
      <w:r w:rsidRPr="00232ED9">
        <w:rPr>
          <w:lang w:val="fr-FR"/>
        </w:rPr>
        <w:t>EN DROIT</w:t>
      </w:r>
    </w:p>
    <w:p w:rsidR="00073EF6" w:rsidRPr="00232ED9" w:rsidRDefault="00E77CB3" w:rsidP="00232ED9">
      <w:pPr>
        <w:pStyle w:val="ECHRHeading1"/>
        <w:rPr>
          <w:lang w:val="fr-FR"/>
        </w:rPr>
      </w:pPr>
      <w:r w:rsidRPr="00232ED9">
        <w:rPr>
          <w:lang w:val="fr-FR"/>
        </w:rPr>
        <w:t>I.  </w:t>
      </w:r>
      <w:r w:rsidR="00785BC0" w:rsidRPr="00232ED9">
        <w:rPr>
          <w:lang w:val="fr-FR"/>
        </w:rPr>
        <w:t>SUR LA DEMANDE DE RADIATION</w:t>
      </w:r>
      <w:r w:rsidR="0000411C" w:rsidRPr="00232ED9">
        <w:rPr>
          <w:lang w:val="fr-FR"/>
        </w:rPr>
        <w:t xml:space="preserve"> DU RÔLE </w:t>
      </w:r>
      <w:r w:rsidR="00785BC0" w:rsidRPr="00232ED9">
        <w:rPr>
          <w:lang w:val="fr-FR"/>
        </w:rPr>
        <w:t>DE LA REQUETE AU SENS DE L</w:t>
      </w:r>
      <w:r w:rsidR="00232ED9" w:rsidRPr="00232ED9">
        <w:rPr>
          <w:lang w:val="fr-FR"/>
        </w:rPr>
        <w:t>’</w:t>
      </w:r>
      <w:r w:rsidR="00785BC0" w:rsidRPr="00232ED9">
        <w:rPr>
          <w:lang w:val="fr-FR"/>
        </w:rPr>
        <w:t>ARTICLE 37 DE LA CONVENTION</w:t>
      </w:r>
    </w:p>
    <w:p w:rsidR="0083289B" w:rsidRPr="00232ED9" w:rsidRDefault="0083289B"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18</w:t>
      </w:r>
      <w:r w:rsidRPr="00232ED9">
        <w:rPr>
          <w:lang w:val="fr-FR"/>
        </w:rPr>
        <w:fldChar w:fldCharType="end"/>
      </w:r>
      <w:r w:rsidRPr="00232ED9">
        <w:rPr>
          <w:lang w:val="fr-FR"/>
        </w:rPr>
        <w:t>.  Après l</w:t>
      </w:r>
      <w:r w:rsidR="00232ED9" w:rsidRPr="00232ED9">
        <w:rPr>
          <w:lang w:val="fr-FR"/>
        </w:rPr>
        <w:t>’</w:t>
      </w:r>
      <w:r w:rsidRPr="00232ED9">
        <w:rPr>
          <w:lang w:val="fr-FR"/>
        </w:rPr>
        <w:t>échec des tentati</w:t>
      </w:r>
      <w:r w:rsidR="0024730E" w:rsidRPr="00232ED9">
        <w:rPr>
          <w:lang w:val="fr-FR"/>
        </w:rPr>
        <w:t>ves de règlement amiable, le 16 </w:t>
      </w:r>
      <w:r w:rsidRPr="00232ED9">
        <w:rPr>
          <w:lang w:val="fr-FR"/>
        </w:rPr>
        <w:t>décembre</w:t>
      </w:r>
      <w:r w:rsidR="00232ED9" w:rsidRPr="00232ED9">
        <w:rPr>
          <w:lang w:val="fr-FR"/>
        </w:rPr>
        <w:t xml:space="preserve"> </w:t>
      </w:r>
      <w:r w:rsidRPr="00232ED9">
        <w:rPr>
          <w:lang w:val="fr-FR"/>
        </w:rPr>
        <w:t>2015, le Gouvernement a informé la Cour qu</w:t>
      </w:r>
      <w:r w:rsidR="00232ED9" w:rsidRPr="00232ED9">
        <w:rPr>
          <w:lang w:val="fr-FR"/>
        </w:rPr>
        <w:t>’</w:t>
      </w:r>
      <w:r w:rsidRPr="00232ED9">
        <w:rPr>
          <w:lang w:val="fr-FR"/>
        </w:rPr>
        <w:t>il a formulé une déclaration unilatérale afin de résoudre la question soulevée par la requête. Il a invité la Cour à rayer celle-ci du rôle en application de l</w:t>
      </w:r>
      <w:r w:rsidR="00232ED9" w:rsidRPr="00232ED9">
        <w:rPr>
          <w:lang w:val="fr-FR"/>
        </w:rPr>
        <w:t>’</w:t>
      </w:r>
      <w:r w:rsidRPr="00232ED9">
        <w:rPr>
          <w:lang w:val="fr-FR"/>
        </w:rPr>
        <w:t>article 37 de la Convention en contrepartie du versement d</w:t>
      </w:r>
      <w:r w:rsidR="00232ED9" w:rsidRPr="00232ED9">
        <w:rPr>
          <w:lang w:val="fr-FR"/>
        </w:rPr>
        <w:t>’</w:t>
      </w:r>
      <w:r w:rsidRPr="00232ED9">
        <w:rPr>
          <w:lang w:val="fr-FR"/>
        </w:rPr>
        <w:t>une somme globale (</w:t>
      </w:r>
      <w:r w:rsidR="000E489A" w:rsidRPr="00232ED9">
        <w:rPr>
          <w:lang w:val="fr-FR"/>
        </w:rPr>
        <w:t>520</w:t>
      </w:r>
      <w:r w:rsidR="00623473" w:rsidRPr="00232ED9">
        <w:rPr>
          <w:lang w:val="fr-FR"/>
        </w:rPr>
        <w:t> </w:t>
      </w:r>
      <w:r w:rsidR="000E489A" w:rsidRPr="00232ED9">
        <w:rPr>
          <w:lang w:val="fr-FR"/>
        </w:rPr>
        <w:t>000</w:t>
      </w:r>
      <w:r w:rsidR="00623473" w:rsidRPr="00232ED9">
        <w:rPr>
          <w:lang w:val="fr-FR"/>
        </w:rPr>
        <w:t> </w:t>
      </w:r>
      <w:r w:rsidRPr="00232ED9">
        <w:rPr>
          <w:lang w:val="fr-FR"/>
        </w:rPr>
        <w:t>EUR), couvrant tout préjudice matériel et moral ainsi que les frais et dépens et de la reconnaissance de la violation du droit au respect des biens au sens de l</w:t>
      </w:r>
      <w:r w:rsidR="00232ED9" w:rsidRPr="00232ED9">
        <w:rPr>
          <w:lang w:val="fr-FR"/>
        </w:rPr>
        <w:t>’</w:t>
      </w:r>
      <w:r w:rsidRPr="00232ED9">
        <w:rPr>
          <w:lang w:val="fr-FR"/>
        </w:rPr>
        <w:t>article 1 du Protocole n</w:t>
      </w:r>
      <w:r w:rsidRPr="00232ED9">
        <w:rPr>
          <w:vertAlign w:val="superscript"/>
          <w:lang w:val="fr-FR"/>
        </w:rPr>
        <w:t>o</w:t>
      </w:r>
      <w:r w:rsidRPr="00232ED9">
        <w:rPr>
          <w:lang w:val="fr-FR"/>
        </w:rPr>
        <w:t xml:space="preserve"> 1 et de l</w:t>
      </w:r>
      <w:r w:rsidR="00232ED9" w:rsidRPr="00232ED9">
        <w:rPr>
          <w:lang w:val="fr-FR"/>
        </w:rPr>
        <w:t>’</w:t>
      </w:r>
      <w:r w:rsidRPr="00232ED9">
        <w:rPr>
          <w:lang w:val="fr-FR"/>
        </w:rPr>
        <w:t>article 6 § 1 de la Convention.</w:t>
      </w:r>
    </w:p>
    <w:p w:rsidR="0083289B" w:rsidRPr="00232ED9" w:rsidRDefault="0083289B"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19</w:t>
      </w:r>
      <w:r w:rsidRPr="00232ED9">
        <w:rPr>
          <w:lang w:val="fr-FR"/>
        </w:rPr>
        <w:fldChar w:fldCharType="end"/>
      </w:r>
      <w:r w:rsidRPr="00232ED9">
        <w:rPr>
          <w:lang w:val="fr-FR"/>
        </w:rPr>
        <w:t>.  Le 15 janvier 2016, les requérants ont déclaré qu</w:t>
      </w:r>
      <w:r w:rsidR="00232ED9" w:rsidRPr="00232ED9">
        <w:rPr>
          <w:lang w:val="fr-FR"/>
        </w:rPr>
        <w:t>’</w:t>
      </w:r>
      <w:r w:rsidRPr="00232ED9">
        <w:rPr>
          <w:lang w:val="fr-FR"/>
        </w:rPr>
        <w:t>ils n</w:t>
      </w:r>
      <w:r w:rsidR="00232ED9" w:rsidRPr="00232ED9">
        <w:rPr>
          <w:lang w:val="fr-FR"/>
        </w:rPr>
        <w:t>’</w:t>
      </w:r>
      <w:r w:rsidRPr="00232ED9">
        <w:rPr>
          <w:lang w:val="fr-FR"/>
        </w:rPr>
        <w:t>étaient pas satisfaits des termes de la déclaration unilatérale compte tenu du montant offert.</w:t>
      </w:r>
    </w:p>
    <w:p w:rsidR="0083289B" w:rsidRPr="00232ED9" w:rsidRDefault="0083289B"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20</w:t>
      </w:r>
      <w:r w:rsidRPr="00232ED9">
        <w:rPr>
          <w:lang w:val="fr-FR"/>
        </w:rPr>
        <w:fldChar w:fldCharType="end"/>
      </w:r>
      <w:r w:rsidRPr="00232ED9">
        <w:rPr>
          <w:lang w:val="fr-FR"/>
        </w:rPr>
        <w:t>.  La Cour a affirmé que, dans certaines circonstances, il peut être indiqué de rayer une requête du rôle en vertu de l</w:t>
      </w:r>
      <w:r w:rsidR="00232ED9" w:rsidRPr="00232ED9">
        <w:rPr>
          <w:lang w:val="fr-FR"/>
        </w:rPr>
        <w:t>’</w:t>
      </w:r>
      <w:r w:rsidRPr="00232ED9">
        <w:rPr>
          <w:lang w:val="fr-FR"/>
        </w:rPr>
        <w:t>article 37 § 1 c) de la Convention sur la base d</w:t>
      </w:r>
      <w:r w:rsidR="00232ED9" w:rsidRPr="00232ED9">
        <w:rPr>
          <w:lang w:val="fr-FR"/>
        </w:rPr>
        <w:t>’</w:t>
      </w:r>
      <w:r w:rsidRPr="00232ED9">
        <w:rPr>
          <w:lang w:val="fr-FR"/>
        </w:rPr>
        <w:t>une déclaration unilatérale du gouvernement défendeur même si le requérant souhaite que l</w:t>
      </w:r>
      <w:r w:rsidR="00232ED9" w:rsidRPr="00232ED9">
        <w:rPr>
          <w:lang w:val="fr-FR"/>
        </w:rPr>
        <w:t>’</w:t>
      </w:r>
      <w:r w:rsidRPr="00232ED9">
        <w:rPr>
          <w:lang w:val="fr-FR"/>
        </w:rPr>
        <w:t>examen de l</w:t>
      </w:r>
      <w:r w:rsidR="00232ED9" w:rsidRPr="00232ED9">
        <w:rPr>
          <w:lang w:val="fr-FR"/>
        </w:rPr>
        <w:t>’</w:t>
      </w:r>
      <w:r w:rsidRPr="00232ED9">
        <w:rPr>
          <w:lang w:val="fr-FR"/>
        </w:rPr>
        <w:t>affaire se poursuive. Ce seront toutefois les circonstances particulières de la cause qui permettront de déterminer si la déclaration unilatérale offre une base suffisante pour que la Cour conclue que le respect des droits de l</w:t>
      </w:r>
      <w:r w:rsidR="00232ED9" w:rsidRPr="00232ED9">
        <w:rPr>
          <w:lang w:val="fr-FR"/>
        </w:rPr>
        <w:t>’</w:t>
      </w:r>
      <w:r w:rsidRPr="00232ED9">
        <w:rPr>
          <w:lang w:val="fr-FR"/>
        </w:rPr>
        <w:t>homme garantis par la Convention n</w:t>
      </w:r>
      <w:r w:rsidR="00232ED9" w:rsidRPr="00232ED9">
        <w:rPr>
          <w:lang w:val="fr-FR"/>
        </w:rPr>
        <w:t>’</w:t>
      </w:r>
      <w:r w:rsidRPr="00232ED9">
        <w:rPr>
          <w:lang w:val="fr-FR"/>
        </w:rPr>
        <w:t>exige pas qu</w:t>
      </w:r>
      <w:r w:rsidR="00232ED9" w:rsidRPr="00232ED9">
        <w:rPr>
          <w:lang w:val="fr-FR"/>
        </w:rPr>
        <w:t>’</w:t>
      </w:r>
      <w:r w:rsidRPr="00232ED9">
        <w:rPr>
          <w:lang w:val="fr-FR"/>
        </w:rPr>
        <w:t>elle poursuive l</w:t>
      </w:r>
      <w:r w:rsidR="00232ED9" w:rsidRPr="00232ED9">
        <w:rPr>
          <w:lang w:val="fr-FR"/>
        </w:rPr>
        <w:t>’</w:t>
      </w:r>
      <w:r w:rsidRPr="00232ED9">
        <w:rPr>
          <w:lang w:val="fr-FR"/>
        </w:rPr>
        <w:t xml:space="preserve">examen de </w:t>
      </w:r>
      <w:r w:rsidRPr="00232ED9">
        <w:rPr>
          <w:lang w:val="fr-FR"/>
        </w:rPr>
        <w:lastRenderedPageBreak/>
        <w:t>l</w:t>
      </w:r>
      <w:r w:rsidR="00232ED9" w:rsidRPr="00232ED9">
        <w:rPr>
          <w:lang w:val="fr-FR"/>
        </w:rPr>
        <w:t>’</w:t>
      </w:r>
      <w:r w:rsidRPr="00232ED9">
        <w:rPr>
          <w:lang w:val="fr-FR"/>
        </w:rPr>
        <w:t>affaire au sens de l</w:t>
      </w:r>
      <w:r w:rsidR="00232ED9" w:rsidRPr="00232ED9">
        <w:rPr>
          <w:lang w:val="fr-FR"/>
        </w:rPr>
        <w:t>’</w:t>
      </w:r>
      <w:r w:rsidRPr="00232ED9">
        <w:rPr>
          <w:lang w:val="fr-FR"/>
        </w:rPr>
        <w:t xml:space="preserve">article 37 § 1 </w:t>
      </w:r>
      <w:r w:rsidRPr="00232ED9">
        <w:rPr>
          <w:i/>
          <w:lang w:val="fr-FR"/>
        </w:rPr>
        <w:t>in fine</w:t>
      </w:r>
      <w:r w:rsidRPr="00232ED9">
        <w:rPr>
          <w:lang w:val="fr-FR"/>
        </w:rPr>
        <w:t xml:space="preserve"> (voir, parmi d</w:t>
      </w:r>
      <w:r w:rsidR="00232ED9" w:rsidRPr="00232ED9">
        <w:rPr>
          <w:lang w:val="fr-FR"/>
        </w:rPr>
        <w:t>’</w:t>
      </w:r>
      <w:r w:rsidRPr="00232ED9">
        <w:rPr>
          <w:lang w:val="fr-FR"/>
        </w:rPr>
        <w:t xml:space="preserve">autres, </w:t>
      </w:r>
      <w:r w:rsidRPr="00232ED9">
        <w:rPr>
          <w:i/>
          <w:lang w:val="fr-FR"/>
        </w:rPr>
        <w:t>Tahsin Acar c. Turquie</w:t>
      </w:r>
      <w:r w:rsidRPr="00232ED9">
        <w:rPr>
          <w:iCs/>
          <w:lang w:val="fr-FR"/>
        </w:rPr>
        <w:t xml:space="preserve"> (exceptions préliminaires) </w:t>
      </w:r>
      <w:r w:rsidRPr="00232ED9">
        <w:rPr>
          <w:lang w:val="fr-FR"/>
        </w:rPr>
        <w:t>[GC],</w:t>
      </w:r>
      <w:r w:rsidRPr="00232ED9">
        <w:rPr>
          <w:i/>
          <w:lang w:val="fr-FR"/>
        </w:rPr>
        <w:t xml:space="preserve"> </w:t>
      </w:r>
      <w:r w:rsidRPr="00232ED9">
        <w:rPr>
          <w:lang w:val="fr-FR"/>
        </w:rPr>
        <w:t>n</w:t>
      </w:r>
      <w:r w:rsidRPr="00232ED9">
        <w:rPr>
          <w:vertAlign w:val="superscript"/>
          <w:lang w:val="fr-FR"/>
        </w:rPr>
        <w:t xml:space="preserve">o </w:t>
      </w:r>
      <w:r w:rsidR="00232ED9" w:rsidRPr="00232ED9">
        <w:rPr>
          <w:lang w:val="fr-FR"/>
        </w:rPr>
        <w:t>26307/95, § 75, CEDH </w:t>
      </w:r>
      <w:r w:rsidR="003D5302" w:rsidRPr="00232ED9">
        <w:rPr>
          <w:lang w:val="fr-FR"/>
        </w:rPr>
        <w:t>2003</w:t>
      </w:r>
      <w:r w:rsidR="003D5302" w:rsidRPr="00232ED9">
        <w:rPr>
          <w:lang w:val="fr-FR"/>
        </w:rPr>
        <w:noBreakHyphen/>
        <w:t>VI</w:t>
      </w:r>
      <w:r w:rsidR="00252A27" w:rsidRPr="00232ED9">
        <w:rPr>
          <w:lang w:val="fr-FR"/>
        </w:rPr>
        <w:t>,</w:t>
      </w:r>
      <w:r w:rsidR="003D5302" w:rsidRPr="00232ED9">
        <w:rPr>
          <w:lang w:val="fr-FR"/>
        </w:rPr>
        <w:t xml:space="preserve"> et</w:t>
      </w:r>
      <w:r w:rsidRPr="00232ED9">
        <w:rPr>
          <w:lang w:val="fr-FR"/>
        </w:rPr>
        <w:t xml:space="preserve"> </w:t>
      </w:r>
      <w:r w:rsidRPr="00232ED9">
        <w:rPr>
          <w:i/>
          <w:lang w:val="fr-FR"/>
        </w:rPr>
        <w:t>Melnic c. Moldova</w:t>
      </w:r>
      <w:r w:rsidRPr="00232ED9">
        <w:rPr>
          <w:lang w:val="fr-FR"/>
        </w:rPr>
        <w:t>, n</w:t>
      </w:r>
      <w:r w:rsidRPr="00232ED9">
        <w:rPr>
          <w:vertAlign w:val="superscript"/>
          <w:lang w:val="fr-FR"/>
        </w:rPr>
        <w:t>o</w:t>
      </w:r>
      <w:r w:rsidRPr="00232ED9">
        <w:rPr>
          <w:lang w:val="fr-FR"/>
        </w:rPr>
        <w:t xml:space="preserve"> 6923/03, § 14, 14 novembre 2006).</w:t>
      </w:r>
    </w:p>
    <w:p w:rsidR="0083289B" w:rsidRPr="00232ED9" w:rsidRDefault="0083289B"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21</w:t>
      </w:r>
      <w:r w:rsidRPr="00232ED9">
        <w:rPr>
          <w:lang w:val="fr-FR"/>
        </w:rPr>
        <w:fldChar w:fldCharType="end"/>
      </w:r>
      <w:r w:rsidRPr="00232ED9">
        <w:rPr>
          <w:lang w:val="fr-FR"/>
        </w:rPr>
        <w:t>.  Parmi les facteurs à prendre en compte à cet égard figure, entre autres, si dans sa déclaration unilatérale le Gouvernement défendeur formule l</w:t>
      </w:r>
      <w:r w:rsidR="00232ED9" w:rsidRPr="00232ED9">
        <w:rPr>
          <w:lang w:val="fr-FR"/>
        </w:rPr>
        <w:t>’</w:t>
      </w:r>
      <w:r w:rsidRPr="00232ED9">
        <w:rPr>
          <w:lang w:val="fr-FR"/>
        </w:rPr>
        <w:t>une ou l</w:t>
      </w:r>
      <w:r w:rsidR="00232ED9" w:rsidRPr="00232ED9">
        <w:rPr>
          <w:lang w:val="fr-FR"/>
        </w:rPr>
        <w:t>’</w:t>
      </w:r>
      <w:r w:rsidRPr="00232ED9">
        <w:rPr>
          <w:lang w:val="fr-FR"/>
        </w:rPr>
        <w:t>autre concession en ce qui concerne les allégations de violations de la Convention et, dans cette hypothèse, quelles sont l</w:t>
      </w:r>
      <w:r w:rsidR="00232ED9" w:rsidRPr="00232ED9">
        <w:rPr>
          <w:lang w:val="fr-FR"/>
        </w:rPr>
        <w:t>’</w:t>
      </w:r>
      <w:r w:rsidRPr="00232ED9">
        <w:rPr>
          <w:lang w:val="fr-FR"/>
        </w:rPr>
        <w:t>ampleur de ces concessions et les modalités du redressement qu</w:t>
      </w:r>
      <w:r w:rsidR="00232ED9" w:rsidRPr="00232ED9">
        <w:rPr>
          <w:lang w:val="fr-FR"/>
        </w:rPr>
        <w:t>’</w:t>
      </w:r>
      <w:r w:rsidRPr="00232ED9">
        <w:rPr>
          <w:lang w:val="fr-FR"/>
        </w:rPr>
        <w:t>il entend fournir au requérant. Quant à ce dernier point, dans les cas où il est possible d</w:t>
      </w:r>
      <w:r w:rsidR="00232ED9" w:rsidRPr="00232ED9">
        <w:rPr>
          <w:lang w:val="fr-FR"/>
        </w:rPr>
        <w:t>’</w:t>
      </w:r>
      <w:r w:rsidRPr="00232ED9">
        <w:rPr>
          <w:lang w:val="fr-FR"/>
        </w:rPr>
        <w:t>effacer les conséquences d</w:t>
      </w:r>
      <w:r w:rsidR="00232ED9" w:rsidRPr="00232ED9">
        <w:rPr>
          <w:lang w:val="fr-FR"/>
        </w:rPr>
        <w:t>’</w:t>
      </w:r>
      <w:r w:rsidRPr="00232ED9">
        <w:rPr>
          <w:lang w:val="fr-FR"/>
        </w:rPr>
        <w:t>une violation alléguée (par exemple dans certaines affaires de propriété) et où le Gouvernement défendeur se déclare disposé à le faire, le redressement envisagé a davantage de chances d</w:t>
      </w:r>
      <w:r w:rsidR="00232ED9" w:rsidRPr="00232ED9">
        <w:rPr>
          <w:lang w:val="fr-FR"/>
        </w:rPr>
        <w:t>’</w:t>
      </w:r>
      <w:r w:rsidRPr="00232ED9">
        <w:rPr>
          <w:lang w:val="fr-FR"/>
        </w:rPr>
        <w:t>être tenu pour adéquat aux fins d</w:t>
      </w:r>
      <w:r w:rsidR="00232ED9" w:rsidRPr="00232ED9">
        <w:rPr>
          <w:lang w:val="fr-FR"/>
        </w:rPr>
        <w:t>’</w:t>
      </w:r>
      <w:r w:rsidRPr="00232ED9">
        <w:rPr>
          <w:lang w:val="fr-FR"/>
        </w:rPr>
        <w:t xml:space="preserve">une radiation de la requête (voir </w:t>
      </w:r>
      <w:r w:rsidRPr="00232ED9">
        <w:rPr>
          <w:i/>
          <w:lang w:val="fr-FR"/>
        </w:rPr>
        <w:t>Tahsin Acar</w:t>
      </w:r>
      <w:r w:rsidR="00232ED9" w:rsidRPr="00232ED9">
        <w:rPr>
          <w:lang w:val="fr-FR"/>
        </w:rPr>
        <w:t xml:space="preserve">, précité, </w:t>
      </w:r>
      <w:r w:rsidRPr="00232ED9">
        <w:rPr>
          <w:lang w:val="fr-FR"/>
        </w:rPr>
        <w:t>§ 76).</w:t>
      </w:r>
    </w:p>
    <w:p w:rsidR="0083289B" w:rsidRPr="00232ED9" w:rsidRDefault="0083289B" w:rsidP="00232ED9">
      <w:pPr>
        <w:pStyle w:val="ECHRPara"/>
        <w:rPr>
          <w:lang w:val="fr-FR"/>
        </w:rPr>
      </w:pPr>
      <w:r w:rsidRPr="00232ED9">
        <w:rPr>
          <w:lang w:val="en-US"/>
        </w:rPr>
        <w:fldChar w:fldCharType="begin"/>
      </w:r>
      <w:r w:rsidRPr="00232ED9">
        <w:rPr>
          <w:lang w:val="fr-FR"/>
        </w:rPr>
        <w:instrText xml:space="preserve"> SEQ level0 \*arabic </w:instrText>
      </w:r>
      <w:r w:rsidRPr="00232ED9">
        <w:rPr>
          <w:lang w:val="en-US"/>
        </w:rPr>
        <w:fldChar w:fldCharType="separate"/>
      </w:r>
      <w:r w:rsidR="00232ED9" w:rsidRPr="00232ED9">
        <w:rPr>
          <w:noProof/>
          <w:lang w:val="fr-FR"/>
        </w:rPr>
        <w:t>22</w:t>
      </w:r>
      <w:r w:rsidRPr="00232ED9">
        <w:rPr>
          <w:lang w:val="fr-FR"/>
        </w:rPr>
        <w:fldChar w:fldCharType="end"/>
      </w:r>
      <w:r w:rsidRPr="00232ED9">
        <w:rPr>
          <w:lang w:val="fr-FR"/>
        </w:rPr>
        <w:t>.  Quant au point de savoir s</w:t>
      </w:r>
      <w:r w:rsidR="00232ED9" w:rsidRPr="00232ED9">
        <w:rPr>
          <w:lang w:val="fr-FR"/>
        </w:rPr>
        <w:t>’</w:t>
      </w:r>
      <w:r w:rsidRPr="00232ED9">
        <w:rPr>
          <w:lang w:val="fr-FR"/>
        </w:rPr>
        <w:t>il serait opportun de rayer la présente requête sur la base de la déclaration unilatérale du Gouvernement, la Cour relève  que le montant du dédommagement offert est insuffisant par rapport aux sommes octroyées par elle dans des affaires similaires en matière d</w:t>
      </w:r>
      <w:r w:rsidR="00232ED9" w:rsidRPr="00232ED9">
        <w:rPr>
          <w:lang w:val="fr-FR"/>
        </w:rPr>
        <w:t>’</w:t>
      </w:r>
      <w:r w:rsidRPr="00232ED9">
        <w:rPr>
          <w:lang w:val="fr-FR"/>
        </w:rPr>
        <w:t xml:space="preserve">expropriation indirecte (voir </w:t>
      </w:r>
      <w:r w:rsidRPr="00232ED9">
        <w:rPr>
          <w:i/>
          <w:lang w:val="fr-FR"/>
        </w:rPr>
        <w:t xml:space="preserve">Guiso-Gallisay c. Italie </w:t>
      </w:r>
      <w:r w:rsidRPr="00232ED9">
        <w:rPr>
          <w:lang w:val="fr-FR"/>
        </w:rPr>
        <w:t>(satisfaction équitable) [GC], n</w:t>
      </w:r>
      <w:r w:rsidRPr="00232ED9">
        <w:rPr>
          <w:vertAlign w:val="superscript"/>
          <w:lang w:val="fr-FR"/>
        </w:rPr>
        <w:t>o</w:t>
      </w:r>
      <w:r w:rsidR="00252A27" w:rsidRPr="00232ED9">
        <w:rPr>
          <w:lang w:val="fr-FR"/>
        </w:rPr>
        <w:t xml:space="preserve"> 58858/00, 22 décembre 2009,</w:t>
      </w:r>
      <w:r w:rsidRPr="00232ED9">
        <w:rPr>
          <w:lang w:val="fr-FR"/>
        </w:rPr>
        <w:t xml:space="preserve"> </w:t>
      </w:r>
      <w:r w:rsidR="00232ED9" w:rsidRPr="00232ED9">
        <w:rPr>
          <w:i/>
          <w:lang w:val="fr-FR"/>
        </w:rPr>
        <w:t xml:space="preserve">Rivera et di Bonaventura </w:t>
      </w:r>
      <w:r w:rsidRPr="00232ED9">
        <w:rPr>
          <w:i/>
          <w:lang w:val="fr-FR"/>
        </w:rPr>
        <w:t>c. Italie</w:t>
      </w:r>
      <w:r w:rsidRPr="00232ED9">
        <w:rPr>
          <w:lang w:val="fr-FR"/>
        </w:rPr>
        <w:t>, n</w:t>
      </w:r>
      <w:r w:rsidRPr="00232ED9">
        <w:rPr>
          <w:vertAlign w:val="superscript"/>
          <w:lang w:val="fr-FR"/>
        </w:rPr>
        <w:t>o</w:t>
      </w:r>
      <w:r w:rsidR="00252A27" w:rsidRPr="00232ED9">
        <w:rPr>
          <w:lang w:val="fr-FR"/>
        </w:rPr>
        <w:t xml:space="preserve"> 63869/00, 14 juin 2011,</w:t>
      </w:r>
      <w:r w:rsidRPr="00232ED9">
        <w:rPr>
          <w:lang w:val="fr-FR"/>
        </w:rPr>
        <w:t xml:space="preserve"> </w:t>
      </w:r>
      <w:r w:rsidRPr="00232ED9">
        <w:rPr>
          <w:i/>
          <w:lang w:val="fr-FR"/>
        </w:rPr>
        <w:t>De Cater</w:t>
      </w:r>
      <w:r w:rsidR="00252A27" w:rsidRPr="00232ED9">
        <w:rPr>
          <w:i/>
          <w:lang w:val="fr-FR"/>
        </w:rPr>
        <w:t>in</w:t>
      </w:r>
      <w:r w:rsidR="00232ED9" w:rsidRPr="00232ED9">
        <w:rPr>
          <w:i/>
          <w:lang w:val="fr-FR"/>
        </w:rPr>
        <w:t xml:space="preserve">a et autres c. </w:t>
      </w:r>
      <w:r w:rsidRPr="00232ED9">
        <w:rPr>
          <w:i/>
          <w:lang w:val="fr-FR"/>
        </w:rPr>
        <w:t>Italie</w:t>
      </w:r>
      <w:r w:rsidRPr="00232ED9">
        <w:rPr>
          <w:lang w:val="fr-FR"/>
        </w:rPr>
        <w:t>, n</w:t>
      </w:r>
      <w:r w:rsidRPr="00232ED9">
        <w:rPr>
          <w:vertAlign w:val="superscript"/>
          <w:lang w:val="fr-FR"/>
        </w:rPr>
        <w:t>o</w:t>
      </w:r>
      <w:r w:rsidR="003D5302" w:rsidRPr="00232ED9">
        <w:rPr>
          <w:lang w:val="fr-FR"/>
        </w:rPr>
        <w:t> 65278/01, 28 juin 2011</w:t>
      </w:r>
      <w:r w:rsidR="00252A27" w:rsidRPr="00232ED9">
        <w:rPr>
          <w:lang w:val="fr-FR"/>
        </w:rPr>
        <w:t>,</w:t>
      </w:r>
      <w:r w:rsidR="003D5302" w:rsidRPr="00232ED9">
        <w:rPr>
          <w:lang w:val="fr-FR"/>
        </w:rPr>
        <w:t xml:space="preserve"> et</w:t>
      </w:r>
      <w:r w:rsidRPr="00232ED9">
        <w:rPr>
          <w:lang w:val="fr-FR"/>
        </w:rPr>
        <w:t xml:space="preserve"> </w:t>
      </w:r>
      <w:r w:rsidRPr="00232ED9">
        <w:rPr>
          <w:i/>
          <w:lang w:val="fr-FR"/>
        </w:rPr>
        <w:t>Macrì et autres c. Italie</w:t>
      </w:r>
      <w:r w:rsidRPr="00232ED9">
        <w:rPr>
          <w:lang w:val="fr-FR"/>
        </w:rPr>
        <w:t>, n</w:t>
      </w:r>
      <w:r w:rsidRPr="00232ED9">
        <w:rPr>
          <w:vertAlign w:val="superscript"/>
          <w:lang w:val="fr-FR"/>
        </w:rPr>
        <w:t>o</w:t>
      </w:r>
      <w:r w:rsidR="00232ED9" w:rsidRPr="00232ED9">
        <w:rPr>
          <w:lang w:val="fr-FR"/>
        </w:rPr>
        <w:t xml:space="preserve"> 14130/02, 12 juillet </w:t>
      </w:r>
      <w:r w:rsidRPr="00232ED9">
        <w:rPr>
          <w:lang w:val="fr-FR"/>
        </w:rPr>
        <w:t>2011).</w:t>
      </w:r>
    </w:p>
    <w:p w:rsidR="0083289B" w:rsidRPr="00232ED9" w:rsidRDefault="0083289B"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23</w:t>
      </w:r>
      <w:r w:rsidRPr="00232ED9">
        <w:rPr>
          <w:lang w:val="fr-FR"/>
        </w:rPr>
        <w:fldChar w:fldCharType="end"/>
      </w:r>
      <w:r w:rsidRPr="00232ED9">
        <w:rPr>
          <w:lang w:val="fr-FR"/>
        </w:rPr>
        <w:t>.  Dans ces conditions, la Cour considère que la déclaration unilatérale litigieuse ne constitue pas une base suffisante pour conclure que le respect des droits de l</w:t>
      </w:r>
      <w:r w:rsidR="00232ED9" w:rsidRPr="00232ED9">
        <w:rPr>
          <w:lang w:val="fr-FR"/>
        </w:rPr>
        <w:t>’</w:t>
      </w:r>
      <w:r w:rsidRPr="00232ED9">
        <w:rPr>
          <w:lang w:val="fr-FR"/>
        </w:rPr>
        <w:t>homme garantis par la Convention n</w:t>
      </w:r>
      <w:r w:rsidR="00232ED9" w:rsidRPr="00232ED9">
        <w:rPr>
          <w:lang w:val="fr-FR"/>
        </w:rPr>
        <w:t>’</w:t>
      </w:r>
      <w:r w:rsidRPr="00232ED9">
        <w:rPr>
          <w:lang w:val="fr-FR"/>
        </w:rPr>
        <w:t>exige pas la poursuite de l</w:t>
      </w:r>
      <w:r w:rsidR="00232ED9" w:rsidRPr="00232ED9">
        <w:rPr>
          <w:lang w:val="fr-FR"/>
        </w:rPr>
        <w:t>’</w:t>
      </w:r>
      <w:r w:rsidRPr="00232ED9">
        <w:rPr>
          <w:lang w:val="fr-FR"/>
        </w:rPr>
        <w:t>examen de la requête</w:t>
      </w:r>
      <w:r w:rsidR="009E35B4" w:rsidRPr="00232ED9">
        <w:rPr>
          <w:lang w:val="fr-FR"/>
        </w:rPr>
        <w:t xml:space="preserve"> (voir </w:t>
      </w:r>
      <w:r w:rsidR="00970C88" w:rsidRPr="00232ED9">
        <w:rPr>
          <w:i/>
          <w:lang w:val="fr-FR"/>
        </w:rPr>
        <w:t>Messana c</w:t>
      </w:r>
      <w:r w:rsidR="009E35B4" w:rsidRPr="00232ED9">
        <w:rPr>
          <w:i/>
          <w:lang w:val="fr-FR"/>
        </w:rPr>
        <w:t>. Ital</w:t>
      </w:r>
      <w:r w:rsidR="00970C88" w:rsidRPr="00232ED9">
        <w:rPr>
          <w:i/>
          <w:lang w:val="fr-FR"/>
        </w:rPr>
        <w:t>ie</w:t>
      </w:r>
      <w:r w:rsidR="009E35B4" w:rsidRPr="00232ED9">
        <w:rPr>
          <w:lang w:val="fr-FR"/>
        </w:rPr>
        <w:t>, n</w:t>
      </w:r>
      <w:r w:rsidR="009E35B4" w:rsidRPr="00232ED9">
        <w:rPr>
          <w:vertAlign w:val="superscript"/>
          <w:lang w:val="fr-FR"/>
        </w:rPr>
        <w:t>o</w:t>
      </w:r>
      <w:r w:rsidR="009E35B4" w:rsidRPr="00232ED9">
        <w:rPr>
          <w:lang w:val="fr-FR"/>
        </w:rPr>
        <w:t xml:space="preserve"> 26128/04, §</w:t>
      </w:r>
      <w:r w:rsidR="00C86A7E" w:rsidRPr="00232ED9">
        <w:rPr>
          <w:lang w:val="fr-FR"/>
        </w:rPr>
        <w:t xml:space="preserve"> 26,</w:t>
      </w:r>
      <w:r w:rsidR="009E35B4" w:rsidRPr="00232ED9">
        <w:rPr>
          <w:lang w:val="fr-FR"/>
        </w:rPr>
        <w:t xml:space="preserve"> 9</w:t>
      </w:r>
      <w:r w:rsidR="00C86A7E" w:rsidRPr="00232ED9">
        <w:rPr>
          <w:lang w:val="fr-FR"/>
        </w:rPr>
        <w:t> </w:t>
      </w:r>
      <w:r w:rsidR="00970C88" w:rsidRPr="00232ED9">
        <w:rPr>
          <w:lang w:val="fr-FR"/>
        </w:rPr>
        <w:t>février</w:t>
      </w:r>
      <w:r w:rsidR="009E35B4" w:rsidRPr="00232ED9">
        <w:rPr>
          <w:lang w:val="fr-FR"/>
        </w:rPr>
        <w:t xml:space="preserve"> 2017)</w:t>
      </w:r>
      <w:r w:rsidRPr="00232ED9">
        <w:rPr>
          <w:lang w:val="fr-FR"/>
        </w:rPr>
        <w:t>.</w:t>
      </w:r>
    </w:p>
    <w:p w:rsidR="0083289B" w:rsidRPr="00232ED9" w:rsidRDefault="0083289B"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24</w:t>
      </w:r>
      <w:r w:rsidRPr="00232ED9">
        <w:rPr>
          <w:lang w:val="fr-FR"/>
        </w:rPr>
        <w:fldChar w:fldCharType="end"/>
      </w:r>
      <w:r w:rsidRPr="00232ED9">
        <w:rPr>
          <w:lang w:val="fr-FR"/>
        </w:rPr>
        <w:t>.  En conclusion, la Cour rejette la demande du Gouvernement tendant à la radiation de la requête du rôle en vertu de l</w:t>
      </w:r>
      <w:r w:rsidR="00232ED9" w:rsidRPr="00232ED9">
        <w:rPr>
          <w:lang w:val="fr-FR"/>
        </w:rPr>
        <w:t>’</w:t>
      </w:r>
      <w:r w:rsidRPr="00232ED9">
        <w:rPr>
          <w:lang w:val="fr-FR"/>
        </w:rPr>
        <w:t>article 37 § 1 c) de la Convention et va en conséquence poursuivre l</w:t>
      </w:r>
      <w:r w:rsidR="00232ED9" w:rsidRPr="00232ED9">
        <w:rPr>
          <w:lang w:val="fr-FR"/>
        </w:rPr>
        <w:t>’</w:t>
      </w:r>
      <w:r w:rsidRPr="00232ED9">
        <w:rPr>
          <w:lang w:val="fr-FR"/>
        </w:rPr>
        <w:t>examen de l</w:t>
      </w:r>
      <w:r w:rsidR="00232ED9" w:rsidRPr="00232ED9">
        <w:rPr>
          <w:lang w:val="fr-FR"/>
        </w:rPr>
        <w:t>’</w:t>
      </w:r>
      <w:r w:rsidRPr="00232ED9">
        <w:rPr>
          <w:lang w:val="fr-FR"/>
        </w:rPr>
        <w:t>affaire sur la recevabilité et le fond.</w:t>
      </w:r>
    </w:p>
    <w:p w:rsidR="00E77CB3" w:rsidRPr="00232ED9" w:rsidRDefault="0015722B" w:rsidP="00232ED9">
      <w:pPr>
        <w:pStyle w:val="ECHRHeading1"/>
        <w:rPr>
          <w:lang w:val="fr-FR"/>
        </w:rPr>
      </w:pPr>
      <w:r w:rsidRPr="00232ED9">
        <w:rPr>
          <w:lang w:val="fr-FR"/>
        </w:rPr>
        <w:t>II</w:t>
      </w:r>
      <w:r w:rsidR="001264CB" w:rsidRPr="00232ED9">
        <w:rPr>
          <w:lang w:val="fr-FR"/>
        </w:rPr>
        <w:t>.  </w:t>
      </w:r>
      <w:r w:rsidR="00E77CB3" w:rsidRPr="00232ED9">
        <w:rPr>
          <w:lang w:val="fr-FR"/>
        </w:rPr>
        <w:t>SUR LA VIOLATION ALLÉGUÉE DE L</w:t>
      </w:r>
      <w:r w:rsidR="00232ED9" w:rsidRPr="00232ED9">
        <w:rPr>
          <w:lang w:val="fr-FR"/>
        </w:rPr>
        <w:t>’</w:t>
      </w:r>
      <w:r w:rsidR="00E77CB3" w:rsidRPr="00232ED9">
        <w:rPr>
          <w:lang w:val="fr-FR"/>
        </w:rPr>
        <w:t xml:space="preserve">ARTICLE </w:t>
      </w:r>
      <w:r w:rsidR="00852BF1" w:rsidRPr="00232ED9">
        <w:rPr>
          <w:lang w:val="fr-FR"/>
        </w:rPr>
        <w:t>1 DU PROTOCOLE N</w:t>
      </w:r>
      <w:r w:rsidR="00D4706F" w:rsidRPr="00232ED9">
        <w:rPr>
          <w:vertAlign w:val="superscript"/>
          <w:lang w:val="fr-FR"/>
        </w:rPr>
        <w:t>o</w:t>
      </w:r>
      <w:r w:rsidR="00ED2B5B" w:rsidRPr="00232ED9">
        <w:rPr>
          <w:vertAlign w:val="superscript"/>
          <w:lang w:val="fr-FR"/>
        </w:rPr>
        <w:t xml:space="preserve"> </w:t>
      </w:r>
      <w:r w:rsidR="00852BF1" w:rsidRPr="00232ED9">
        <w:rPr>
          <w:lang w:val="fr-FR"/>
        </w:rPr>
        <w:t>1</w:t>
      </w:r>
    </w:p>
    <w:p w:rsidR="00852BF1" w:rsidRPr="00232ED9" w:rsidRDefault="00852BF1"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25</w:t>
      </w:r>
      <w:r w:rsidRPr="00232ED9">
        <w:rPr>
          <w:lang w:val="fr-FR"/>
        </w:rPr>
        <w:fldChar w:fldCharType="end"/>
      </w:r>
      <w:r w:rsidRPr="00232ED9">
        <w:rPr>
          <w:lang w:val="fr-FR"/>
        </w:rPr>
        <w:t>.  </w:t>
      </w:r>
      <w:r w:rsidR="0066256F" w:rsidRPr="00232ED9">
        <w:rPr>
          <w:lang w:val="fr-FR"/>
        </w:rPr>
        <w:t>Les requérants allèguent avoir été privés de leur terrain de manière incompatible avec l</w:t>
      </w:r>
      <w:r w:rsidR="00232ED9" w:rsidRPr="00232ED9">
        <w:rPr>
          <w:lang w:val="fr-FR"/>
        </w:rPr>
        <w:t>’</w:t>
      </w:r>
      <w:r w:rsidR="0066256F" w:rsidRPr="00232ED9">
        <w:rPr>
          <w:lang w:val="fr-FR"/>
        </w:rPr>
        <w:t>article 1 du Protocole n</w:t>
      </w:r>
      <w:r w:rsidR="0066256F" w:rsidRPr="00232ED9">
        <w:rPr>
          <w:vertAlign w:val="superscript"/>
          <w:lang w:val="fr-FR"/>
        </w:rPr>
        <w:t>o</w:t>
      </w:r>
      <w:r w:rsidR="0066256F" w:rsidRPr="00232ED9">
        <w:rPr>
          <w:lang w:val="fr-FR"/>
        </w:rPr>
        <w:t xml:space="preserve"> 1 en raison de l</w:t>
      </w:r>
      <w:r w:rsidR="00232ED9" w:rsidRPr="00232ED9">
        <w:rPr>
          <w:lang w:val="fr-FR"/>
        </w:rPr>
        <w:t>’</w:t>
      </w:r>
      <w:r w:rsidR="0066256F" w:rsidRPr="00232ED9">
        <w:rPr>
          <w:lang w:val="fr-FR"/>
        </w:rPr>
        <w:t>application du principe de l</w:t>
      </w:r>
      <w:r w:rsidR="00232ED9" w:rsidRPr="00232ED9">
        <w:rPr>
          <w:lang w:val="fr-FR"/>
        </w:rPr>
        <w:t>’</w:t>
      </w:r>
      <w:r w:rsidR="0066256F" w:rsidRPr="00232ED9">
        <w:rPr>
          <w:lang w:val="fr-FR"/>
        </w:rPr>
        <w:t>expropriation indirecte. Ils invoquent également l</w:t>
      </w:r>
      <w:r w:rsidR="00232ED9" w:rsidRPr="00232ED9">
        <w:rPr>
          <w:lang w:val="fr-FR"/>
        </w:rPr>
        <w:t>’</w:t>
      </w:r>
      <w:r w:rsidR="0066256F" w:rsidRPr="00232ED9">
        <w:rPr>
          <w:lang w:val="fr-FR"/>
        </w:rPr>
        <w:t>article 13 de la Convention, pris en combinaison avec l</w:t>
      </w:r>
      <w:r w:rsidR="00232ED9" w:rsidRPr="00232ED9">
        <w:rPr>
          <w:lang w:val="fr-FR"/>
        </w:rPr>
        <w:t>’</w:t>
      </w:r>
      <w:r w:rsidR="0066256F" w:rsidRPr="00232ED9">
        <w:rPr>
          <w:lang w:val="fr-FR"/>
        </w:rPr>
        <w:t xml:space="preserve">article 1 du Protocole </w:t>
      </w:r>
      <w:r w:rsidR="00D479CA" w:rsidRPr="00232ED9">
        <w:rPr>
          <w:lang w:val="fr-FR"/>
        </w:rPr>
        <w:t>n</w:t>
      </w:r>
      <w:r w:rsidR="00D479CA" w:rsidRPr="00232ED9">
        <w:rPr>
          <w:vertAlign w:val="superscript"/>
          <w:lang w:val="fr-FR"/>
        </w:rPr>
        <w:t>o</w:t>
      </w:r>
      <w:r w:rsidR="00D479CA" w:rsidRPr="00232ED9">
        <w:rPr>
          <w:lang w:val="fr-FR"/>
        </w:rPr>
        <w:t xml:space="preserve"> 1 </w:t>
      </w:r>
      <w:r w:rsidR="007769FC" w:rsidRPr="00232ED9">
        <w:rPr>
          <w:lang w:val="fr-FR"/>
        </w:rPr>
        <w:t>sans, toutefois l</w:t>
      </w:r>
      <w:r w:rsidR="00232ED9" w:rsidRPr="00232ED9">
        <w:rPr>
          <w:lang w:val="fr-FR"/>
        </w:rPr>
        <w:t>’</w:t>
      </w:r>
      <w:r w:rsidR="007769FC" w:rsidRPr="00232ED9">
        <w:rPr>
          <w:lang w:val="fr-FR"/>
        </w:rPr>
        <w:t>étayer</w:t>
      </w:r>
      <w:r w:rsidR="0066256F" w:rsidRPr="00232ED9">
        <w:rPr>
          <w:lang w:val="fr-FR"/>
        </w:rPr>
        <w:t>. La Cour examinera ledit grief uniquement sous l</w:t>
      </w:r>
      <w:r w:rsidR="00232ED9" w:rsidRPr="00232ED9">
        <w:rPr>
          <w:lang w:val="fr-FR"/>
        </w:rPr>
        <w:t>’</w:t>
      </w:r>
      <w:r w:rsidR="0066256F" w:rsidRPr="00232ED9">
        <w:rPr>
          <w:lang w:val="fr-FR"/>
        </w:rPr>
        <w:t>angle de l</w:t>
      </w:r>
      <w:r w:rsidR="00232ED9" w:rsidRPr="00232ED9">
        <w:rPr>
          <w:lang w:val="fr-FR"/>
        </w:rPr>
        <w:t>’</w:t>
      </w:r>
      <w:r w:rsidR="0066256F" w:rsidRPr="00232ED9">
        <w:rPr>
          <w:lang w:val="fr-FR"/>
        </w:rPr>
        <w:t xml:space="preserve">article 1 du Protocole </w:t>
      </w:r>
      <w:r w:rsidR="00D479CA" w:rsidRPr="00232ED9">
        <w:rPr>
          <w:lang w:val="fr-FR"/>
        </w:rPr>
        <w:t>n</w:t>
      </w:r>
      <w:r w:rsidR="00D479CA" w:rsidRPr="00232ED9">
        <w:rPr>
          <w:vertAlign w:val="superscript"/>
          <w:lang w:val="fr-FR"/>
        </w:rPr>
        <w:t>o</w:t>
      </w:r>
      <w:r w:rsidR="00D479CA" w:rsidRPr="00232ED9">
        <w:rPr>
          <w:lang w:val="fr-FR"/>
        </w:rPr>
        <w:t xml:space="preserve"> 1</w:t>
      </w:r>
      <w:r w:rsidR="0066256F" w:rsidRPr="00232ED9">
        <w:rPr>
          <w:lang w:val="fr-FR"/>
        </w:rPr>
        <w:t>, lequel est ainsi libellé</w:t>
      </w:r>
      <w:r w:rsidRPr="00232ED9">
        <w:rPr>
          <w:lang w:val="fr-FR"/>
        </w:rPr>
        <w:t>:</w:t>
      </w:r>
    </w:p>
    <w:p w:rsidR="00852BF1" w:rsidRPr="00232ED9" w:rsidRDefault="00852BF1" w:rsidP="00232ED9">
      <w:pPr>
        <w:pStyle w:val="ECHRParaQuote"/>
        <w:rPr>
          <w:lang w:val="fr-FR"/>
        </w:rPr>
      </w:pPr>
      <w:r w:rsidRPr="00232ED9">
        <w:rPr>
          <w:lang w:val="fr-FR"/>
        </w:rPr>
        <w:lastRenderedPageBreak/>
        <w:t>« Toute personne physique ou morale a droit au respect de ses biens. Nul ne peut être privé de sa propriété que pour cause d</w:t>
      </w:r>
      <w:r w:rsidR="00232ED9" w:rsidRPr="00232ED9">
        <w:rPr>
          <w:lang w:val="fr-FR"/>
        </w:rPr>
        <w:t>’</w:t>
      </w:r>
      <w:r w:rsidRPr="00232ED9">
        <w:rPr>
          <w:lang w:val="fr-FR"/>
        </w:rPr>
        <w:t>utilité publique et dans les conditions prévues par la loi et les principes généraux du droit international.</w:t>
      </w:r>
    </w:p>
    <w:p w:rsidR="00852BF1" w:rsidRPr="00232ED9" w:rsidRDefault="00852BF1" w:rsidP="00232ED9">
      <w:pPr>
        <w:pStyle w:val="ECHRParaQuote"/>
        <w:rPr>
          <w:lang w:val="fr-FR"/>
        </w:rPr>
      </w:pPr>
      <w:r w:rsidRPr="00232ED9">
        <w:rPr>
          <w:lang w:val="fr-FR"/>
        </w:rPr>
        <w:t xml:space="preserve">Les dispositions précédentes ne portent pas atteinte au droit que possèdent les </w:t>
      </w:r>
      <w:r w:rsidR="003A0641" w:rsidRPr="00232ED9">
        <w:rPr>
          <w:lang w:val="fr-FR"/>
        </w:rPr>
        <w:t>États</w:t>
      </w:r>
      <w:r w:rsidRPr="00232ED9">
        <w:rPr>
          <w:lang w:val="fr-FR"/>
        </w:rPr>
        <w:t xml:space="preserve"> de mettre en vigueur les lois qu</w:t>
      </w:r>
      <w:r w:rsidR="00232ED9" w:rsidRPr="00232ED9">
        <w:rPr>
          <w:lang w:val="fr-FR"/>
        </w:rPr>
        <w:t>’</w:t>
      </w:r>
      <w:r w:rsidRPr="00232ED9">
        <w:rPr>
          <w:lang w:val="fr-FR"/>
        </w:rPr>
        <w:t>ils jugent nécessaires pour réglementer l</w:t>
      </w:r>
      <w:r w:rsidR="00232ED9" w:rsidRPr="00232ED9">
        <w:rPr>
          <w:lang w:val="fr-FR"/>
        </w:rPr>
        <w:t>’</w:t>
      </w:r>
      <w:r w:rsidRPr="00232ED9">
        <w:rPr>
          <w:lang w:val="fr-FR"/>
        </w:rPr>
        <w:t>usage des biens conformément à l</w:t>
      </w:r>
      <w:r w:rsidR="00232ED9" w:rsidRPr="00232ED9">
        <w:rPr>
          <w:lang w:val="fr-FR"/>
        </w:rPr>
        <w:t>’</w:t>
      </w:r>
      <w:r w:rsidRPr="00232ED9">
        <w:rPr>
          <w:lang w:val="fr-FR"/>
        </w:rPr>
        <w:t>intérêt général ou pour assurer le paiement des impôts ou d</w:t>
      </w:r>
      <w:r w:rsidR="00232ED9" w:rsidRPr="00232ED9">
        <w:rPr>
          <w:lang w:val="fr-FR"/>
        </w:rPr>
        <w:t>’</w:t>
      </w:r>
      <w:r w:rsidRPr="00232ED9">
        <w:rPr>
          <w:lang w:val="fr-FR"/>
        </w:rPr>
        <w:t>autres contributions ou des amendes. »</w:t>
      </w:r>
    </w:p>
    <w:p w:rsidR="00852BF1" w:rsidRPr="00232ED9" w:rsidRDefault="00852BF1"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26</w:t>
      </w:r>
      <w:r w:rsidRPr="00232ED9">
        <w:rPr>
          <w:lang w:val="fr-FR"/>
        </w:rPr>
        <w:fldChar w:fldCharType="end"/>
      </w:r>
      <w:r w:rsidRPr="00232ED9">
        <w:rPr>
          <w:lang w:val="fr-FR"/>
        </w:rPr>
        <w:t>.  Le Gouvernement s</w:t>
      </w:r>
      <w:r w:rsidR="00232ED9" w:rsidRPr="00232ED9">
        <w:rPr>
          <w:lang w:val="fr-FR"/>
        </w:rPr>
        <w:t>’</w:t>
      </w:r>
      <w:r w:rsidRPr="00232ED9">
        <w:rPr>
          <w:lang w:val="fr-FR"/>
        </w:rPr>
        <w:t>oppose à cette thèse.</w:t>
      </w:r>
    </w:p>
    <w:p w:rsidR="00E77CB3" w:rsidRPr="00232ED9" w:rsidRDefault="00E77CB3" w:rsidP="00232ED9">
      <w:pPr>
        <w:pStyle w:val="ECHRHeading2"/>
        <w:rPr>
          <w:lang w:val="fr-FR"/>
        </w:rPr>
      </w:pPr>
      <w:r w:rsidRPr="00232ED9">
        <w:rPr>
          <w:lang w:val="fr-FR"/>
        </w:rPr>
        <w:t>A.  </w:t>
      </w:r>
      <w:r w:rsidR="00B81090" w:rsidRPr="00232ED9">
        <w:rPr>
          <w:lang w:val="fr-FR"/>
        </w:rPr>
        <w:t>Sur la recevabilité</w:t>
      </w:r>
    </w:p>
    <w:p w:rsidR="00B81090" w:rsidRPr="00232ED9" w:rsidRDefault="00B8109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27</w:t>
      </w:r>
      <w:r w:rsidRPr="00232ED9">
        <w:rPr>
          <w:lang w:val="fr-FR" w:eastAsia="en-GB"/>
        </w:rPr>
        <w:fldChar w:fldCharType="end"/>
      </w:r>
      <w:r w:rsidRPr="00232ED9">
        <w:rPr>
          <w:lang w:val="fr-FR" w:eastAsia="en-GB"/>
        </w:rPr>
        <w:t>.  Le Gouvernement soulève une exception de non-épuisement des voies de recours internes au motif que les requérants ne sont pas pourvus en Cassation contre l</w:t>
      </w:r>
      <w:r w:rsidR="00232ED9" w:rsidRPr="00232ED9">
        <w:rPr>
          <w:lang w:val="fr-FR" w:eastAsia="en-GB"/>
        </w:rPr>
        <w:t>’</w:t>
      </w:r>
      <w:r w:rsidRPr="00232ED9">
        <w:rPr>
          <w:lang w:val="fr-FR" w:eastAsia="en-GB"/>
        </w:rPr>
        <w:t>arrêt de la cour d</w:t>
      </w:r>
      <w:r w:rsidR="00232ED9" w:rsidRPr="00232ED9">
        <w:rPr>
          <w:lang w:val="fr-FR" w:eastAsia="en-GB"/>
        </w:rPr>
        <w:t>’</w:t>
      </w:r>
      <w:r w:rsidRPr="00232ED9">
        <w:rPr>
          <w:lang w:val="fr-FR" w:eastAsia="en-GB"/>
        </w:rPr>
        <w:t>appel de Palerme.</w:t>
      </w:r>
    </w:p>
    <w:p w:rsidR="00125065" w:rsidRPr="00232ED9" w:rsidRDefault="00B81090" w:rsidP="00232ED9">
      <w:pPr>
        <w:pStyle w:val="ECHRPara"/>
        <w:rPr>
          <w:lang w:val="fr-FR" w:eastAsia="en-GB"/>
        </w:rPr>
      </w:pPr>
      <w:r w:rsidRPr="00232ED9">
        <w:rPr>
          <w:lang w:val="en-US" w:eastAsia="en-GB"/>
        </w:rPr>
        <w:fldChar w:fldCharType="begin"/>
      </w:r>
      <w:r w:rsidRPr="00232ED9">
        <w:rPr>
          <w:lang w:val="fr-FR" w:eastAsia="en-GB"/>
        </w:rPr>
        <w:instrText xml:space="preserve"> SEQ level0 \*arabic </w:instrText>
      </w:r>
      <w:r w:rsidRPr="00232ED9">
        <w:rPr>
          <w:lang w:val="en-US" w:eastAsia="en-GB"/>
        </w:rPr>
        <w:fldChar w:fldCharType="separate"/>
      </w:r>
      <w:r w:rsidR="00232ED9" w:rsidRPr="00232ED9">
        <w:rPr>
          <w:noProof/>
          <w:lang w:val="fr-FR" w:eastAsia="en-GB"/>
        </w:rPr>
        <w:t>28</w:t>
      </w:r>
      <w:r w:rsidRPr="00232ED9">
        <w:rPr>
          <w:lang w:val="fr-FR" w:eastAsia="en-GB"/>
        </w:rPr>
        <w:fldChar w:fldCharType="end"/>
      </w:r>
      <w:r w:rsidRPr="00232ED9">
        <w:rPr>
          <w:lang w:val="fr-FR" w:eastAsia="en-GB"/>
        </w:rPr>
        <w:t>.  Les requérants s</w:t>
      </w:r>
      <w:r w:rsidR="00232ED9" w:rsidRPr="00232ED9">
        <w:rPr>
          <w:lang w:val="fr-FR" w:eastAsia="en-GB"/>
        </w:rPr>
        <w:t>’</w:t>
      </w:r>
      <w:r w:rsidRPr="00232ED9">
        <w:rPr>
          <w:lang w:val="fr-FR" w:eastAsia="en-GB"/>
        </w:rPr>
        <w:t>opposent à l</w:t>
      </w:r>
      <w:r w:rsidR="00232ED9" w:rsidRPr="00232ED9">
        <w:rPr>
          <w:lang w:val="fr-FR" w:eastAsia="en-GB"/>
        </w:rPr>
        <w:t>’</w:t>
      </w:r>
      <w:r w:rsidRPr="00232ED9">
        <w:rPr>
          <w:lang w:val="fr-FR" w:eastAsia="en-GB"/>
        </w:rPr>
        <w:t>exception de non-épuisement du Gouvernement et font valoir que un pourvoi en cassation n</w:t>
      </w:r>
      <w:r w:rsidR="00232ED9" w:rsidRPr="00232ED9">
        <w:rPr>
          <w:lang w:val="fr-FR" w:eastAsia="en-GB"/>
        </w:rPr>
        <w:t>’</w:t>
      </w:r>
      <w:r w:rsidRPr="00232ED9">
        <w:rPr>
          <w:lang w:val="fr-FR" w:eastAsia="en-GB"/>
        </w:rPr>
        <w:t>aurait remédié à la situation dénoncée.</w:t>
      </w:r>
    </w:p>
    <w:p w:rsidR="00B81090" w:rsidRPr="00232ED9" w:rsidRDefault="00B81090" w:rsidP="00232ED9">
      <w:pPr>
        <w:pStyle w:val="ECHRPara"/>
        <w:rPr>
          <w:vanish/>
          <w:lang w:val="fr-FR" w:eastAsia="en-GB"/>
        </w:rPr>
      </w:pPr>
      <w:r w:rsidRPr="00232ED9">
        <w:rPr>
          <w:lang w:val="en-US" w:eastAsia="en-GB"/>
        </w:rPr>
        <w:fldChar w:fldCharType="begin"/>
      </w:r>
      <w:r w:rsidRPr="00232ED9">
        <w:rPr>
          <w:lang w:val="fr-FR" w:eastAsia="en-GB"/>
        </w:rPr>
        <w:instrText xml:space="preserve"> SEQ level0 \*arabic </w:instrText>
      </w:r>
      <w:r w:rsidRPr="00232ED9">
        <w:rPr>
          <w:lang w:val="en-US" w:eastAsia="en-GB"/>
        </w:rPr>
        <w:fldChar w:fldCharType="separate"/>
      </w:r>
      <w:r w:rsidR="00232ED9" w:rsidRPr="00232ED9">
        <w:rPr>
          <w:noProof/>
          <w:lang w:val="fr-FR" w:eastAsia="en-GB"/>
        </w:rPr>
        <w:t>29</w:t>
      </w:r>
      <w:r w:rsidRPr="00232ED9">
        <w:rPr>
          <w:lang w:val="fr-FR" w:eastAsia="en-GB"/>
        </w:rPr>
        <w:fldChar w:fldCharType="end"/>
      </w:r>
      <w:r w:rsidRPr="00232ED9">
        <w:rPr>
          <w:lang w:val="fr-FR" w:eastAsia="en-GB"/>
        </w:rPr>
        <w:t xml:space="preserve">.  La Cour rappelle avoir déjà rejeté des exceptions semblables dans les affaires </w:t>
      </w:r>
      <w:r w:rsidRPr="00232ED9">
        <w:rPr>
          <w:i/>
          <w:lang w:val="fr-FR" w:eastAsia="en-GB"/>
        </w:rPr>
        <w:t>Giacobbe et autres c. Italie</w:t>
      </w:r>
      <w:r w:rsidRPr="00232ED9">
        <w:rPr>
          <w:lang w:val="fr-FR" w:eastAsia="en-GB"/>
        </w:rPr>
        <w:t xml:space="preserve"> (n</w:t>
      </w:r>
      <w:r w:rsidRPr="00232ED9">
        <w:rPr>
          <w:vertAlign w:val="superscript"/>
          <w:lang w:val="fr-FR" w:eastAsia="en-GB"/>
        </w:rPr>
        <w:t>o</w:t>
      </w:r>
      <w:r w:rsidRPr="00232ED9">
        <w:rPr>
          <w:lang w:val="fr-FR" w:eastAsia="en-GB"/>
        </w:rPr>
        <w:t xml:space="preserve"> 16041/02, 15 décembre 2005) et </w:t>
      </w:r>
      <w:r w:rsidRPr="00232ED9">
        <w:rPr>
          <w:i/>
          <w:lang w:val="fr-FR" w:eastAsia="en-GB"/>
        </w:rPr>
        <w:t>Chirò c. Italie</w:t>
      </w:r>
      <w:r w:rsidRPr="00232ED9">
        <w:rPr>
          <w:lang w:val="fr-FR" w:eastAsia="en-GB"/>
        </w:rPr>
        <w:t>, (n</w:t>
      </w:r>
      <w:r w:rsidRPr="00232ED9">
        <w:rPr>
          <w:vertAlign w:val="superscript"/>
          <w:lang w:val="fr-FR" w:eastAsia="en-GB"/>
        </w:rPr>
        <w:t>o</w:t>
      </w:r>
      <w:r w:rsidRPr="00232ED9">
        <w:rPr>
          <w:lang w:val="fr-FR" w:eastAsia="en-GB"/>
        </w:rPr>
        <w:t xml:space="preserve"> 5), (n</w:t>
      </w:r>
      <w:r w:rsidRPr="00232ED9">
        <w:rPr>
          <w:vertAlign w:val="superscript"/>
          <w:lang w:val="fr-FR" w:eastAsia="en-GB"/>
        </w:rPr>
        <w:t>o</w:t>
      </w:r>
      <w:r w:rsidRPr="00232ED9">
        <w:rPr>
          <w:lang w:val="fr-FR" w:eastAsia="en-GB"/>
        </w:rPr>
        <w:t xml:space="preserve"> 67197/01, 11 octobre 2005). Elle n</w:t>
      </w:r>
      <w:r w:rsidR="00232ED9" w:rsidRPr="00232ED9">
        <w:rPr>
          <w:lang w:val="fr-FR" w:eastAsia="en-GB"/>
        </w:rPr>
        <w:t>’</w:t>
      </w:r>
      <w:r w:rsidRPr="00232ED9">
        <w:rPr>
          <w:lang w:val="fr-FR" w:eastAsia="en-GB"/>
        </w:rPr>
        <w:t>aperçoit aucun motif de déroger à ses précédentes conclusions et rejette donc l</w:t>
      </w:r>
      <w:r w:rsidR="00232ED9" w:rsidRPr="00232ED9">
        <w:rPr>
          <w:lang w:val="fr-FR" w:eastAsia="en-GB"/>
        </w:rPr>
        <w:t>’</w:t>
      </w:r>
      <w:r w:rsidRPr="00232ED9">
        <w:rPr>
          <w:lang w:val="fr-FR" w:eastAsia="en-GB"/>
        </w:rPr>
        <w:t>exception en question.</w:t>
      </w:r>
    </w:p>
    <w:p w:rsidR="00B81090" w:rsidRPr="00232ED9" w:rsidRDefault="00E316A9"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30</w:t>
      </w:r>
      <w:r w:rsidRPr="00232ED9">
        <w:rPr>
          <w:lang w:val="fr-FR" w:eastAsia="en-GB"/>
        </w:rPr>
        <w:fldChar w:fldCharType="end"/>
      </w:r>
      <w:r w:rsidRPr="00232ED9">
        <w:rPr>
          <w:lang w:val="fr-FR" w:eastAsia="en-GB"/>
        </w:rPr>
        <w:t>.  </w:t>
      </w:r>
      <w:r w:rsidR="003573AB" w:rsidRPr="00232ED9">
        <w:rPr>
          <w:lang w:val="fr-FR" w:eastAsia="en-GB"/>
        </w:rPr>
        <w:t>La Cour constate que ce grief n</w:t>
      </w:r>
      <w:r w:rsidR="00232ED9" w:rsidRPr="00232ED9">
        <w:rPr>
          <w:lang w:val="fr-FR" w:eastAsia="en-GB"/>
        </w:rPr>
        <w:t>’</w:t>
      </w:r>
      <w:r w:rsidR="003573AB" w:rsidRPr="00232ED9">
        <w:rPr>
          <w:lang w:val="fr-FR" w:eastAsia="en-GB"/>
        </w:rPr>
        <w:t>est pas manifestement mal fondé au sens de l</w:t>
      </w:r>
      <w:r w:rsidR="00232ED9" w:rsidRPr="00232ED9">
        <w:rPr>
          <w:lang w:val="fr-FR" w:eastAsia="en-GB"/>
        </w:rPr>
        <w:t>’</w:t>
      </w:r>
      <w:r w:rsidR="003573AB" w:rsidRPr="00232ED9">
        <w:rPr>
          <w:lang w:val="fr-FR" w:eastAsia="en-GB"/>
        </w:rPr>
        <w:t>article 35 § 3 a) de la Convention. Elle relève, par ailleurs, qu</w:t>
      </w:r>
      <w:r w:rsidR="00232ED9" w:rsidRPr="00232ED9">
        <w:rPr>
          <w:lang w:val="fr-FR" w:eastAsia="en-GB"/>
        </w:rPr>
        <w:t>’</w:t>
      </w:r>
      <w:r w:rsidR="003573AB" w:rsidRPr="00232ED9">
        <w:rPr>
          <w:lang w:val="fr-FR" w:eastAsia="en-GB"/>
        </w:rPr>
        <w:t>il ne se heurte à aucun autre motif d</w:t>
      </w:r>
      <w:r w:rsidR="00232ED9" w:rsidRPr="00232ED9">
        <w:rPr>
          <w:lang w:val="fr-FR" w:eastAsia="en-GB"/>
        </w:rPr>
        <w:t>’</w:t>
      </w:r>
      <w:r w:rsidR="003573AB" w:rsidRPr="00232ED9">
        <w:rPr>
          <w:lang w:val="fr-FR" w:eastAsia="en-GB"/>
        </w:rPr>
        <w:t>irrecevabilité. Il convient donc de le déclarer recevable.</w:t>
      </w:r>
    </w:p>
    <w:p w:rsidR="00B81090" w:rsidRPr="00232ED9" w:rsidRDefault="001264CB" w:rsidP="00232ED9">
      <w:pPr>
        <w:pStyle w:val="ECHRHeading2"/>
        <w:rPr>
          <w:lang w:val="fr-FR" w:eastAsia="en-GB"/>
        </w:rPr>
      </w:pPr>
      <w:r w:rsidRPr="00232ED9">
        <w:rPr>
          <w:lang w:val="fr-FR" w:eastAsia="en-GB"/>
        </w:rPr>
        <w:t>B.  </w:t>
      </w:r>
      <w:r w:rsidR="0051585C" w:rsidRPr="00232ED9">
        <w:rPr>
          <w:lang w:val="fr-FR" w:eastAsia="en-GB"/>
        </w:rPr>
        <w:t>Sur le fond</w:t>
      </w:r>
    </w:p>
    <w:p w:rsidR="00CA6410" w:rsidRPr="00232ED9" w:rsidRDefault="001C5730" w:rsidP="00232ED9">
      <w:pPr>
        <w:pStyle w:val="ECHRHeading3"/>
        <w:rPr>
          <w:lang w:val="fr-FR" w:eastAsia="en-GB"/>
        </w:rPr>
      </w:pPr>
      <w:r w:rsidRPr="00232ED9">
        <w:rPr>
          <w:lang w:val="fr-FR" w:eastAsia="en-GB"/>
        </w:rPr>
        <w:t>1</w:t>
      </w:r>
      <w:r w:rsidR="00CA6410" w:rsidRPr="00232ED9">
        <w:rPr>
          <w:lang w:val="fr-FR" w:eastAsia="en-GB"/>
        </w:rPr>
        <w:t>.  </w:t>
      </w:r>
      <w:r w:rsidR="000B2BA0" w:rsidRPr="00232ED9">
        <w:rPr>
          <w:lang w:val="fr-FR" w:eastAsia="en-GB"/>
        </w:rPr>
        <w:t>Arguments des parties</w:t>
      </w:r>
    </w:p>
    <w:p w:rsidR="00DC3C0F" w:rsidRPr="00232ED9" w:rsidRDefault="001264CB" w:rsidP="00232ED9">
      <w:pPr>
        <w:pStyle w:val="ECHRHeading4"/>
        <w:rPr>
          <w:lang w:val="fr-FR" w:eastAsia="en-GB"/>
        </w:rPr>
      </w:pPr>
      <w:r w:rsidRPr="00232ED9">
        <w:rPr>
          <w:lang w:val="fr-FR" w:eastAsia="en-GB"/>
        </w:rPr>
        <w:t>a)  </w:t>
      </w:r>
      <w:r w:rsidR="005216B2" w:rsidRPr="00232ED9">
        <w:rPr>
          <w:lang w:val="fr-FR" w:eastAsia="en-GB"/>
        </w:rPr>
        <w:t>les requérants</w:t>
      </w:r>
    </w:p>
    <w:p w:rsidR="00DC3C0F" w:rsidRPr="00232ED9" w:rsidRDefault="00A74B09"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31</w:t>
      </w:r>
      <w:r w:rsidRPr="00232ED9">
        <w:rPr>
          <w:lang w:val="fr-FR" w:eastAsia="en-GB"/>
        </w:rPr>
        <w:fldChar w:fldCharType="end"/>
      </w:r>
      <w:r w:rsidRPr="00232ED9">
        <w:rPr>
          <w:lang w:val="fr-FR" w:eastAsia="en-GB"/>
        </w:rPr>
        <w:t>.  </w:t>
      </w:r>
      <w:r w:rsidR="00365161" w:rsidRPr="00232ED9">
        <w:rPr>
          <w:lang w:val="fr-FR" w:eastAsia="en-GB"/>
        </w:rPr>
        <w:t>Les requérants rappellent qu</w:t>
      </w:r>
      <w:r w:rsidR="00232ED9" w:rsidRPr="00232ED9">
        <w:rPr>
          <w:lang w:val="fr-FR" w:eastAsia="en-GB"/>
        </w:rPr>
        <w:t>’</w:t>
      </w:r>
      <w:r w:rsidR="00365161" w:rsidRPr="00232ED9">
        <w:rPr>
          <w:lang w:val="fr-FR" w:eastAsia="en-GB"/>
        </w:rPr>
        <w:t>ils ont été privés de leur</w:t>
      </w:r>
      <w:r w:rsidR="00955DF0" w:rsidRPr="00232ED9">
        <w:rPr>
          <w:lang w:val="fr-FR" w:eastAsia="en-GB"/>
        </w:rPr>
        <w:t>s</w:t>
      </w:r>
      <w:r w:rsidR="00365161" w:rsidRPr="00232ED9">
        <w:rPr>
          <w:lang w:val="fr-FR" w:eastAsia="en-GB"/>
        </w:rPr>
        <w:t xml:space="preserve"> bien</w:t>
      </w:r>
      <w:r w:rsidR="00955DF0" w:rsidRPr="00232ED9">
        <w:rPr>
          <w:lang w:val="fr-FR" w:eastAsia="en-GB"/>
        </w:rPr>
        <w:t>s</w:t>
      </w:r>
      <w:r w:rsidR="00365161" w:rsidRPr="00232ED9">
        <w:rPr>
          <w:lang w:val="fr-FR" w:eastAsia="en-GB"/>
        </w:rPr>
        <w:t xml:space="preserve"> en vertu du principe de l</w:t>
      </w:r>
      <w:r w:rsidR="00232ED9" w:rsidRPr="00232ED9">
        <w:rPr>
          <w:lang w:val="fr-FR" w:eastAsia="en-GB"/>
        </w:rPr>
        <w:t>’</w:t>
      </w:r>
      <w:r w:rsidR="00365161" w:rsidRPr="00232ED9">
        <w:rPr>
          <w:lang w:val="fr-FR" w:eastAsia="en-GB"/>
        </w:rPr>
        <w:t>expropriation indirecte, un mécanisme qui permet à l</w:t>
      </w:r>
      <w:r w:rsidR="00232ED9" w:rsidRPr="00232ED9">
        <w:rPr>
          <w:lang w:val="fr-FR" w:eastAsia="en-GB"/>
        </w:rPr>
        <w:t>’</w:t>
      </w:r>
      <w:r w:rsidR="00365161" w:rsidRPr="00232ED9">
        <w:rPr>
          <w:lang w:val="fr-FR" w:eastAsia="en-GB"/>
        </w:rPr>
        <w:t>autorité publique d</w:t>
      </w:r>
      <w:r w:rsidR="00232ED9" w:rsidRPr="00232ED9">
        <w:rPr>
          <w:lang w:val="fr-FR" w:eastAsia="en-GB"/>
        </w:rPr>
        <w:t>’</w:t>
      </w:r>
      <w:r w:rsidR="00365161" w:rsidRPr="00232ED9">
        <w:rPr>
          <w:lang w:val="fr-FR" w:eastAsia="en-GB"/>
        </w:rPr>
        <w:t>acquérir un bien en toute illégalité, ce qui est inadmissible dans un État de droit.</w:t>
      </w:r>
    </w:p>
    <w:p w:rsidR="00DC3C0F" w:rsidRPr="00232ED9" w:rsidRDefault="00365161"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32</w:t>
      </w:r>
      <w:r w:rsidRPr="00232ED9">
        <w:rPr>
          <w:lang w:val="fr-FR" w:eastAsia="en-GB"/>
        </w:rPr>
        <w:fldChar w:fldCharType="end"/>
      </w:r>
      <w:r w:rsidRPr="00232ED9">
        <w:rPr>
          <w:lang w:val="fr-FR" w:eastAsia="en-GB"/>
        </w:rPr>
        <w:t>.  Ils affirment avoir eu la certitude de la perte de propriété de leur</w:t>
      </w:r>
      <w:r w:rsidR="00955DF0" w:rsidRPr="00232ED9">
        <w:rPr>
          <w:lang w:val="fr-FR" w:eastAsia="en-GB"/>
        </w:rPr>
        <w:t>s</w:t>
      </w:r>
      <w:r w:rsidRPr="00232ED9">
        <w:rPr>
          <w:lang w:val="fr-FR" w:eastAsia="en-GB"/>
        </w:rPr>
        <w:t xml:space="preserve"> bien</w:t>
      </w:r>
      <w:r w:rsidR="00955DF0" w:rsidRPr="00232ED9">
        <w:rPr>
          <w:lang w:val="fr-FR" w:eastAsia="en-GB"/>
        </w:rPr>
        <w:t>s</w:t>
      </w:r>
      <w:r w:rsidRPr="00232ED9">
        <w:rPr>
          <w:lang w:val="fr-FR" w:eastAsia="en-GB"/>
        </w:rPr>
        <w:t xml:space="preserve"> en application du principe de l</w:t>
      </w:r>
      <w:r w:rsidR="00232ED9" w:rsidRPr="00232ED9">
        <w:rPr>
          <w:lang w:val="fr-FR" w:eastAsia="en-GB"/>
        </w:rPr>
        <w:t>’</w:t>
      </w:r>
      <w:r w:rsidRPr="00232ED9">
        <w:rPr>
          <w:lang w:val="fr-FR" w:eastAsia="en-GB"/>
        </w:rPr>
        <w:t>expropriation indirecte avec l</w:t>
      </w:r>
      <w:r w:rsidR="00232ED9" w:rsidRPr="00232ED9">
        <w:rPr>
          <w:lang w:val="fr-FR" w:eastAsia="en-GB"/>
        </w:rPr>
        <w:t>’</w:t>
      </w:r>
      <w:r w:rsidRPr="00232ED9">
        <w:rPr>
          <w:lang w:val="fr-FR" w:eastAsia="en-GB"/>
        </w:rPr>
        <w:t xml:space="preserve">arrêt de </w:t>
      </w:r>
      <w:r w:rsidR="00A74B09" w:rsidRPr="00232ED9">
        <w:rPr>
          <w:lang w:val="fr-FR" w:eastAsia="en-GB"/>
        </w:rPr>
        <w:t>la</w:t>
      </w:r>
      <w:r w:rsidR="00CA6410" w:rsidRPr="00232ED9">
        <w:rPr>
          <w:lang w:val="fr-FR" w:eastAsia="en-GB"/>
        </w:rPr>
        <w:t xml:space="preserve"> Cour d</w:t>
      </w:r>
      <w:r w:rsidR="00232ED9" w:rsidRPr="00232ED9">
        <w:rPr>
          <w:lang w:val="fr-FR" w:eastAsia="en-GB"/>
        </w:rPr>
        <w:t>’</w:t>
      </w:r>
      <w:r w:rsidR="00CA6410" w:rsidRPr="00232ED9">
        <w:rPr>
          <w:lang w:val="fr-FR" w:eastAsia="en-GB"/>
        </w:rPr>
        <w:t>appel de Palerme.</w:t>
      </w:r>
    </w:p>
    <w:p w:rsidR="00CA6410" w:rsidRPr="00232ED9" w:rsidRDefault="005216B2" w:rsidP="00232ED9">
      <w:pPr>
        <w:pStyle w:val="ECHRHeading4"/>
        <w:rPr>
          <w:lang w:val="fr-FR" w:eastAsia="en-GB"/>
        </w:rPr>
      </w:pPr>
      <w:r w:rsidRPr="00232ED9">
        <w:rPr>
          <w:lang w:val="fr-FR" w:eastAsia="en-GB"/>
        </w:rPr>
        <w:t>b)</w:t>
      </w:r>
      <w:r w:rsidR="00CA6410" w:rsidRPr="00232ED9">
        <w:rPr>
          <w:lang w:val="fr-FR" w:eastAsia="en-GB"/>
        </w:rPr>
        <w:t>  Le Gouvernement</w:t>
      </w:r>
    </w:p>
    <w:p w:rsidR="00DC3C0F"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33</w:t>
      </w:r>
      <w:r w:rsidRPr="00232ED9">
        <w:rPr>
          <w:lang w:eastAsia="en-GB"/>
        </w:rPr>
        <w:fldChar w:fldCharType="end"/>
      </w:r>
      <w:r w:rsidRPr="00232ED9">
        <w:rPr>
          <w:lang w:val="fr-FR" w:eastAsia="en-GB"/>
        </w:rPr>
        <w:t>.  </w:t>
      </w:r>
      <w:r w:rsidR="006316D3" w:rsidRPr="00232ED9">
        <w:rPr>
          <w:lang w:val="fr-FR" w:eastAsia="en-GB"/>
        </w:rPr>
        <w:t>Le Gouvernement prend acte de ce que la jurisprudence de la Cour, désormais consolidée, conclut à une incompatibilité du mécanisme de l</w:t>
      </w:r>
      <w:r w:rsidR="00232ED9" w:rsidRPr="00232ED9">
        <w:rPr>
          <w:lang w:val="fr-FR" w:eastAsia="en-GB"/>
        </w:rPr>
        <w:t>’</w:t>
      </w:r>
      <w:r w:rsidR="006316D3" w:rsidRPr="00232ED9">
        <w:rPr>
          <w:lang w:val="fr-FR" w:eastAsia="en-GB"/>
        </w:rPr>
        <w:t>expropriation indirecte avec le principe de légalité. Toutefois, à la lumière des arrêts des juridictions internes déclarant qu</w:t>
      </w:r>
      <w:r w:rsidR="00232ED9" w:rsidRPr="00232ED9">
        <w:rPr>
          <w:lang w:val="fr-FR" w:eastAsia="en-GB"/>
        </w:rPr>
        <w:t>’</w:t>
      </w:r>
      <w:r w:rsidR="006316D3" w:rsidRPr="00232ED9">
        <w:rPr>
          <w:lang w:val="fr-FR" w:eastAsia="en-GB"/>
        </w:rPr>
        <w:t xml:space="preserve">un transfert de propriété </w:t>
      </w:r>
      <w:r w:rsidR="006316D3" w:rsidRPr="00232ED9">
        <w:rPr>
          <w:lang w:val="fr-FR" w:eastAsia="en-GB"/>
        </w:rPr>
        <w:lastRenderedPageBreak/>
        <w:t>avait eu lieu, et qui serait assimilable à un acte formel d</w:t>
      </w:r>
      <w:r w:rsidR="00232ED9" w:rsidRPr="00232ED9">
        <w:rPr>
          <w:lang w:val="fr-FR" w:eastAsia="en-GB"/>
        </w:rPr>
        <w:t>’</w:t>
      </w:r>
      <w:r w:rsidR="006316D3" w:rsidRPr="00232ED9">
        <w:rPr>
          <w:lang w:val="fr-FR" w:eastAsia="en-GB"/>
        </w:rPr>
        <w:t>expropriation, l</w:t>
      </w:r>
      <w:r w:rsidR="00232ED9" w:rsidRPr="00232ED9">
        <w:rPr>
          <w:lang w:val="fr-FR" w:eastAsia="en-GB"/>
        </w:rPr>
        <w:t>’</w:t>
      </w:r>
      <w:r w:rsidR="006316D3" w:rsidRPr="00232ED9">
        <w:rPr>
          <w:lang w:val="fr-FR" w:eastAsia="en-GB"/>
        </w:rPr>
        <w:t>expropriation en question ne pourrait plus se considérer comme étant incompatible avec le respect des biens et le principe de prééminence du droit.</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34</w:t>
      </w:r>
      <w:r w:rsidRPr="00232ED9">
        <w:rPr>
          <w:lang w:eastAsia="en-GB"/>
        </w:rPr>
        <w:fldChar w:fldCharType="end"/>
      </w:r>
      <w:r w:rsidRPr="00232ED9">
        <w:rPr>
          <w:lang w:val="fr-FR" w:eastAsia="en-GB"/>
        </w:rPr>
        <w:t>.  Quant au dédommagement, le Gouvernement reconnaît que les paramètres appliqués dans le cas d</w:t>
      </w:r>
      <w:r w:rsidR="00232ED9" w:rsidRPr="00232ED9">
        <w:rPr>
          <w:lang w:val="fr-FR" w:eastAsia="en-GB"/>
        </w:rPr>
        <w:t>’</w:t>
      </w:r>
      <w:r w:rsidRPr="00232ED9">
        <w:rPr>
          <w:lang w:val="fr-FR" w:eastAsia="en-GB"/>
        </w:rPr>
        <w:t>espèce posent des problèmes de compatibilité avec la Convention, car les requérants n</w:t>
      </w:r>
      <w:r w:rsidR="00232ED9" w:rsidRPr="00232ED9">
        <w:rPr>
          <w:lang w:val="fr-FR" w:eastAsia="en-GB"/>
        </w:rPr>
        <w:t>’</w:t>
      </w:r>
      <w:r w:rsidRPr="00232ED9">
        <w:rPr>
          <w:lang w:val="fr-FR" w:eastAsia="en-GB"/>
        </w:rPr>
        <w:t xml:space="preserve">ont pas été dédommagés sur la base de la valeur vénale </w:t>
      </w:r>
      <w:r w:rsidR="009015F9" w:rsidRPr="00232ED9">
        <w:rPr>
          <w:lang w:val="fr-FR" w:eastAsia="en-GB"/>
        </w:rPr>
        <w:t>des</w:t>
      </w:r>
      <w:r w:rsidRPr="00232ED9">
        <w:rPr>
          <w:lang w:val="fr-FR" w:eastAsia="en-GB"/>
        </w:rPr>
        <w:t xml:space="preserve"> terrain</w:t>
      </w:r>
      <w:r w:rsidR="009015F9" w:rsidRPr="00232ED9">
        <w:rPr>
          <w:lang w:val="fr-FR" w:eastAsia="en-GB"/>
        </w:rPr>
        <w:t>s</w:t>
      </w:r>
      <w:r w:rsidRPr="00232ED9">
        <w:rPr>
          <w:lang w:val="fr-FR" w:eastAsia="en-GB"/>
        </w:rPr>
        <w:t>.</w:t>
      </w:r>
    </w:p>
    <w:p w:rsidR="00CA6410" w:rsidRPr="00232ED9" w:rsidRDefault="00413624" w:rsidP="00232ED9">
      <w:pPr>
        <w:pStyle w:val="ECHRHeading3"/>
        <w:rPr>
          <w:lang w:val="fr-FR" w:eastAsia="en-GB"/>
        </w:rPr>
      </w:pPr>
      <w:r w:rsidRPr="00232ED9">
        <w:rPr>
          <w:lang w:val="fr-FR" w:eastAsia="en-GB"/>
        </w:rPr>
        <w:t>2</w:t>
      </w:r>
      <w:r w:rsidR="00CA6410" w:rsidRPr="00232ED9">
        <w:rPr>
          <w:lang w:val="fr-FR" w:eastAsia="en-GB"/>
        </w:rPr>
        <w:t>.  Appréciation de la Cour</w:t>
      </w:r>
    </w:p>
    <w:p w:rsidR="00CA6410" w:rsidRPr="00232ED9" w:rsidRDefault="00413624" w:rsidP="00232ED9">
      <w:pPr>
        <w:pStyle w:val="ECHRHeading4"/>
        <w:rPr>
          <w:lang w:val="fr-FR" w:eastAsia="en-GB"/>
        </w:rPr>
      </w:pPr>
      <w:r w:rsidRPr="00232ED9">
        <w:rPr>
          <w:lang w:val="fr-FR" w:eastAsia="en-GB"/>
        </w:rPr>
        <w:t>a)</w:t>
      </w:r>
      <w:r w:rsidR="00CA6410" w:rsidRPr="00232ED9">
        <w:rPr>
          <w:lang w:val="fr-FR" w:eastAsia="en-GB"/>
        </w:rPr>
        <w:t>  Sur l</w:t>
      </w:r>
      <w:r w:rsidR="00232ED9" w:rsidRPr="00232ED9">
        <w:rPr>
          <w:lang w:val="fr-FR" w:eastAsia="en-GB"/>
        </w:rPr>
        <w:t>’</w:t>
      </w:r>
      <w:r w:rsidR="00CA6410" w:rsidRPr="00232ED9">
        <w:rPr>
          <w:lang w:val="fr-FR" w:eastAsia="en-GB"/>
        </w:rPr>
        <w:t>existence d</w:t>
      </w:r>
      <w:r w:rsidR="00232ED9" w:rsidRPr="00232ED9">
        <w:rPr>
          <w:lang w:val="fr-FR" w:eastAsia="en-GB"/>
        </w:rPr>
        <w:t>’</w:t>
      </w:r>
      <w:r w:rsidR="00CA6410" w:rsidRPr="00232ED9">
        <w:rPr>
          <w:lang w:val="fr-FR" w:eastAsia="en-GB"/>
        </w:rPr>
        <w:t>une ingérence</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35</w:t>
      </w:r>
      <w:r w:rsidRPr="00232ED9">
        <w:rPr>
          <w:lang w:eastAsia="en-GB"/>
        </w:rPr>
        <w:fldChar w:fldCharType="end"/>
      </w:r>
      <w:r w:rsidRPr="00232ED9">
        <w:rPr>
          <w:lang w:val="fr-FR" w:eastAsia="en-GB"/>
        </w:rPr>
        <w:t>.  La Cour renvoie à sa jurisprudence constante relative à la structure de l</w:t>
      </w:r>
      <w:r w:rsidR="00232ED9" w:rsidRPr="00232ED9">
        <w:rPr>
          <w:lang w:val="fr-FR" w:eastAsia="en-GB"/>
        </w:rPr>
        <w:t>’</w:t>
      </w:r>
      <w:r w:rsidRPr="00232ED9">
        <w:rPr>
          <w:lang w:val="fr-FR" w:eastAsia="en-GB"/>
        </w:rPr>
        <w:t>article 1 du Protocole n</w:t>
      </w:r>
      <w:r w:rsidRPr="00232ED9">
        <w:rPr>
          <w:vertAlign w:val="superscript"/>
          <w:lang w:val="fr-FR" w:eastAsia="en-GB"/>
        </w:rPr>
        <w:t>o</w:t>
      </w:r>
      <w:r w:rsidRPr="00232ED9">
        <w:rPr>
          <w:lang w:val="fr-FR" w:eastAsia="en-GB"/>
        </w:rPr>
        <w:t xml:space="preserve"> 1 à la Convention et aux trois normes distinctes que cette disposition contient (voir, parmi beaucoup d</w:t>
      </w:r>
      <w:r w:rsidR="00232ED9" w:rsidRPr="00232ED9">
        <w:rPr>
          <w:lang w:val="fr-FR" w:eastAsia="en-GB"/>
        </w:rPr>
        <w:t>’</w:t>
      </w:r>
      <w:r w:rsidRPr="00232ED9">
        <w:rPr>
          <w:lang w:val="fr-FR" w:eastAsia="en-GB"/>
        </w:rPr>
        <w:t xml:space="preserve">autres, </w:t>
      </w:r>
      <w:r w:rsidR="00232ED9" w:rsidRPr="00232ED9">
        <w:rPr>
          <w:i/>
          <w:lang w:val="fr-FR" w:eastAsia="en-GB"/>
        </w:rPr>
        <w:t>Sporrong et </w:t>
      </w:r>
      <w:r w:rsidRPr="00232ED9">
        <w:rPr>
          <w:i/>
          <w:lang w:val="fr-FR" w:eastAsia="en-GB"/>
        </w:rPr>
        <w:t>Lönnroth c. Suède</w:t>
      </w:r>
      <w:r w:rsidRPr="00232ED9">
        <w:rPr>
          <w:lang w:val="fr-FR" w:eastAsia="en-GB"/>
        </w:rPr>
        <w:t>, 23 septembre 1982, § 61, série A n</w:t>
      </w:r>
      <w:r w:rsidRPr="00232ED9">
        <w:rPr>
          <w:vertAlign w:val="superscript"/>
          <w:lang w:val="fr-FR" w:eastAsia="en-GB"/>
        </w:rPr>
        <w:t>o</w:t>
      </w:r>
      <w:r w:rsidRPr="00232ED9">
        <w:rPr>
          <w:lang w:val="fr-FR" w:eastAsia="en-GB"/>
        </w:rPr>
        <w:t xml:space="preserve"> 52, </w:t>
      </w:r>
      <w:r w:rsidR="00232ED9" w:rsidRPr="00232ED9">
        <w:rPr>
          <w:i/>
          <w:lang w:val="fr-FR" w:eastAsia="en-GB"/>
        </w:rPr>
        <w:t>Iatridis c. </w:t>
      </w:r>
      <w:r w:rsidRPr="00232ED9">
        <w:rPr>
          <w:i/>
          <w:lang w:val="fr-FR" w:eastAsia="en-GB"/>
        </w:rPr>
        <w:t>Grèce</w:t>
      </w:r>
      <w:r w:rsidRPr="00232ED9">
        <w:rPr>
          <w:lang w:val="fr-FR" w:eastAsia="en-GB"/>
        </w:rPr>
        <w:t xml:space="preserve"> [GC], n</w:t>
      </w:r>
      <w:r w:rsidRPr="00232ED9">
        <w:rPr>
          <w:vertAlign w:val="superscript"/>
          <w:lang w:val="fr-FR" w:eastAsia="en-GB"/>
        </w:rPr>
        <w:t>o</w:t>
      </w:r>
      <w:r w:rsidRPr="00232ED9">
        <w:rPr>
          <w:lang w:val="fr-FR" w:eastAsia="en-GB"/>
        </w:rPr>
        <w:t xml:space="preserve"> 31107/96, § 55, CEDH 1999 II, </w:t>
      </w:r>
      <w:r w:rsidRPr="00232ED9">
        <w:rPr>
          <w:i/>
          <w:lang w:val="fr-FR" w:eastAsia="en-GB"/>
        </w:rPr>
        <w:t>Immobiliare Saffi c. Italie</w:t>
      </w:r>
      <w:r w:rsidRPr="00232ED9">
        <w:rPr>
          <w:lang w:val="fr-FR" w:eastAsia="en-GB"/>
        </w:rPr>
        <w:t xml:space="preserve"> [GC], n</w:t>
      </w:r>
      <w:r w:rsidRPr="00232ED9">
        <w:rPr>
          <w:vertAlign w:val="superscript"/>
          <w:lang w:val="fr-FR" w:eastAsia="en-GB"/>
        </w:rPr>
        <w:t>o </w:t>
      </w:r>
      <w:r w:rsidRPr="00232ED9">
        <w:rPr>
          <w:lang w:val="fr-FR" w:eastAsia="en-GB"/>
        </w:rPr>
        <w:t xml:space="preserve">22774/93, § 44, CEDH 1999 V, </w:t>
      </w:r>
      <w:r w:rsidRPr="00232ED9">
        <w:rPr>
          <w:i/>
          <w:lang w:val="fr-FR" w:eastAsia="en-GB"/>
        </w:rPr>
        <w:t>Broniowski c. Pologne</w:t>
      </w:r>
      <w:r w:rsidRPr="00232ED9">
        <w:rPr>
          <w:lang w:val="fr-FR" w:eastAsia="en-GB"/>
        </w:rPr>
        <w:t xml:space="preserve"> [GC], n</w:t>
      </w:r>
      <w:r w:rsidRPr="00232ED9">
        <w:rPr>
          <w:vertAlign w:val="superscript"/>
          <w:lang w:val="fr-FR" w:eastAsia="en-GB"/>
        </w:rPr>
        <w:t>o </w:t>
      </w:r>
      <w:r w:rsidRPr="00232ED9">
        <w:rPr>
          <w:lang w:val="fr-FR" w:eastAsia="en-GB"/>
        </w:rPr>
        <w:t xml:space="preserve">31443/96, § 134, CEDH 2004 V, et </w:t>
      </w:r>
      <w:r w:rsidR="00232ED9" w:rsidRPr="00232ED9">
        <w:rPr>
          <w:i/>
          <w:lang w:val="fr-FR" w:eastAsia="en-GB"/>
        </w:rPr>
        <w:t>Vistiņš et Perepjolkins c.</w:t>
      </w:r>
      <w:r w:rsidRPr="00232ED9">
        <w:rPr>
          <w:i/>
          <w:lang w:val="fr-FR" w:eastAsia="en-GB"/>
        </w:rPr>
        <w:t xml:space="preserve"> Lettonie</w:t>
      </w:r>
      <w:r w:rsidRPr="00232ED9">
        <w:rPr>
          <w:lang w:val="fr-FR" w:eastAsia="en-GB"/>
        </w:rPr>
        <w:t xml:space="preserve"> [GC], n</w:t>
      </w:r>
      <w:r w:rsidRPr="00232ED9">
        <w:rPr>
          <w:vertAlign w:val="superscript"/>
          <w:lang w:val="fr-FR" w:eastAsia="en-GB"/>
        </w:rPr>
        <w:t>o</w:t>
      </w:r>
      <w:r w:rsidRPr="00232ED9">
        <w:rPr>
          <w:lang w:val="fr-FR" w:eastAsia="en-GB"/>
        </w:rPr>
        <w:t xml:space="preserve"> 71243/01, § 93, 25 octobre 2012).</w:t>
      </w:r>
    </w:p>
    <w:p w:rsidR="00CA6410" w:rsidRPr="00232ED9" w:rsidRDefault="00CA6410" w:rsidP="00232ED9">
      <w:pPr>
        <w:pStyle w:val="ECHRPara"/>
        <w:rPr>
          <w:lang w:val="fr-FR" w:eastAsia="en-GB"/>
        </w:rPr>
      </w:pPr>
      <w:r w:rsidRPr="00232ED9">
        <w:rPr>
          <w:lang w:eastAsia="en-GB"/>
        </w:rPr>
        <w:fldChar w:fldCharType="begin"/>
      </w:r>
      <w:r w:rsidRPr="00232ED9">
        <w:rPr>
          <w:lang w:val="fr-FR" w:eastAsia="en-GB"/>
        </w:rPr>
        <w:instrText xml:space="preserve"> SEQ level0 \*arabic </w:instrText>
      </w:r>
      <w:r w:rsidRPr="00232ED9">
        <w:rPr>
          <w:lang w:eastAsia="en-GB"/>
        </w:rPr>
        <w:fldChar w:fldCharType="separate"/>
      </w:r>
      <w:r w:rsidR="00232ED9" w:rsidRPr="00232ED9">
        <w:rPr>
          <w:noProof/>
          <w:lang w:val="fr-FR" w:eastAsia="en-GB"/>
        </w:rPr>
        <w:t>36</w:t>
      </w:r>
      <w:r w:rsidRPr="00232ED9">
        <w:rPr>
          <w:lang w:eastAsia="en-GB"/>
        </w:rPr>
        <w:fldChar w:fldCharType="end"/>
      </w:r>
      <w:r w:rsidRPr="00232ED9">
        <w:rPr>
          <w:lang w:val="fr-FR" w:eastAsia="en-GB"/>
        </w:rPr>
        <w:t>.  La Cour constate que les parties s</w:t>
      </w:r>
      <w:r w:rsidR="00232ED9" w:rsidRPr="00232ED9">
        <w:rPr>
          <w:lang w:val="fr-FR" w:eastAsia="en-GB"/>
        </w:rPr>
        <w:t>’</w:t>
      </w:r>
      <w:r w:rsidRPr="00232ED9">
        <w:rPr>
          <w:lang w:val="fr-FR" w:eastAsia="en-GB"/>
        </w:rPr>
        <w:t>accordent pour dire qu</w:t>
      </w:r>
      <w:r w:rsidR="00232ED9" w:rsidRPr="00232ED9">
        <w:rPr>
          <w:lang w:val="fr-FR" w:eastAsia="en-GB"/>
        </w:rPr>
        <w:t>’</w:t>
      </w:r>
      <w:r w:rsidRPr="00232ED9">
        <w:rPr>
          <w:lang w:val="fr-FR" w:eastAsia="en-GB"/>
        </w:rPr>
        <w:t>il y a eu une « privation » de propriété au sens de la deuxième phrase du premier alinéa de l</w:t>
      </w:r>
      <w:r w:rsidR="00232ED9" w:rsidRPr="00232ED9">
        <w:rPr>
          <w:lang w:val="fr-FR" w:eastAsia="en-GB"/>
        </w:rPr>
        <w:t>’</w:t>
      </w:r>
      <w:r w:rsidRPr="00232ED9">
        <w:rPr>
          <w:lang w:val="fr-FR" w:eastAsia="en-GB"/>
        </w:rPr>
        <w:t>article 1 du Protocole n</w:t>
      </w:r>
      <w:r w:rsidRPr="00232ED9">
        <w:rPr>
          <w:vertAlign w:val="superscript"/>
          <w:lang w:val="fr-FR" w:eastAsia="en-GB"/>
        </w:rPr>
        <w:t>o</w:t>
      </w:r>
      <w:r w:rsidRPr="00232ED9">
        <w:rPr>
          <w:lang w:val="fr-FR" w:eastAsia="en-GB"/>
        </w:rPr>
        <w:t xml:space="preserve"> 1.</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37</w:t>
      </w:r>
      <w:r w:rsidRPr="00232ED9">
        <w:rPr>
          <w:lang w:eastAsia="en-GB"/>
        </w:rPr>
        <w:fldChar w:fldCharType="end"/>
      </w:r>
      <w:r w:rsidRPr="00232ED9">
        <w:rPr>
          <w:lang w:val="fr-FR" w:eastAsia="en-GB"/>
        </w:rPr>
        <w:t>.  La Cour doit donc rechercher si la privation dénoncée se justifie sous l</w:t>
      </w:r>
      <w:r w:rsidR="00232ED9" w:rsidRPr="00232ED9">
        <w:rPr>
          <w:lang w:val="fr-FR" w:eastAsia="en-GB"/>
        </w:rPr>
        <w:t>’</w:t>
      </w:r>
      <w:r w:rsidRPr="00232ED9">
        <w:rPr>
          <w:lang w:val="fr-FR" w:eastAsia="en-GB"/>
        </w:rPr>
        <w:t>angle de cette disposition.</w:t>
      </w:r>
    </w:p>
    <w:p w:rsidR="00CA6410" w:rsidRPr="00232ED9" w:rsidRDefault="00413624" w:rsidP="00232ED9">
      <w:pPr>
        <w:pStyle w:val="ECHRHeading4"/>
        <w:rPr>
          <w:lang w:val="fr-FR" w:eastAsia="en-GB"/>
        </w:rPr>
      </w:pPr>
      <w:r w:rsidRPr="00232ED9">
        <w:rPr>
          <w:lang w:val="fr-FR" w:eastAsia="en-GB"/>
        </w:rPr>
        <w:t>b)</w:t>
      </w:r>
      <w:r w:rsidR="001264CB" w:rsidRPr="00232ED9">
        <w:rPr>
          <w:lang w:val="fr-FR" w:eastAsia="en-GB"/>
        </w:rPr>
        <w:t>  Sur</w:t>
      </w:r>
      <w:r w:rsidR="003D5302" w:rsidRPr="00232ED9">
        <w:rPr>
          <w:lang w:val="fr-FR" w:eastAsia="en-GB"/>
        </w:rPr>
        <w:t xml:space="preserve"> </w:t>
      </w:r>
      <w:r w:rsidR="00CA6410" w:rsidRPr="00232ED9">
        <w:rPr>
          <w:lang w:val="fr-FR" w:eastAsia="en-GB"/>
        </w:rPr>
        <w:t>le respect du principe de légalité</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38</w:t>
      </w:r>
      <w:r w:rsidRPr="00232ED9">
        <w:rPr>
          <w:lang w:eastAsia="en-GB"/>
        </w:rPr>
        <w:fldChar w:fldCharType="end"/>
      </w:r>
      <w:r w:rsidRPr="00232ED9">
        <w:rPr>
          <w:lang w:val="fr-FR" w:eastAsia="en-GB"/>
        </w:rPr>
        <w:t>.  La Cour rappelle que l</w:t>
      </w:r>
      <w:r w:rsidR="00232ED9" w:rsidRPr="00232ED9">
        <w:rPr>
          <w:lang w:val="fr-FR" w:eastAsia="en-GB"/>
        </w:rPr>
        <w:t>’</w:t>
      </w:r>
      <w:r w:rsidRPr="00232ED9">
        <w:rPr>
          <w:lang w:val="fr-FR" w:eastAsia="en-GB"/>
        </w:rPr>
        <w:t>article 1 du Protocole n</w:t>
      </w:r>
      <w:r w:rsidRPr="00232ED9">
        <w:rPr>
          <w:vertAlign w:val="superscript"/>
          <w:lang w:val="fr-FR" w:eastAsia="en-GB"/>
        </w:rPr>
        <w:t>o</w:t>
      </w:r>
      <w:r w:rsidRPr="00232ED9">
        <w:rPr>
          <w:lang w:val="fr-FR" w:eastAsia="en-GB"/>
        </w:rPr>
        <w:t xml:space="preserve"> 1 exige, avant tout et surtout, qu</w:t>
      </w:r>
      <w:r w:rsidR="00232ED9" w:rsidRPr="00232ED9">
        <w:rPr>
          <w:lang w:val="fr-FR" w:eastAsia="en-GB"/>
        </w:rPr>
        <w:t>’</w:t>
      </w:r>
      <w:r w:rsidRPr="00232ED9">
        <w:rPr>
          <w:lang w:val="fr-FR" w:eastAsia="en-GB"/>
        </w:rPr>
        <w:t>une ingérence de l</w:t>
      </w:r>
      <w:r w:rsidR="00232ED9" w:rsidRPr="00232ED9">
        <w:rPr>
          <w:lang w:val="fr-FR" w:eastAsia="en-GB"/>
        </w:rPr>
        <w:t>’</w:t>
      </w:r>
      <w:r w:rsidRPr="00232ED9">
        <w:rPr>
          <w:lang w:val="fr-FR" w:eastAsia="en-GB"/>
        </w:rPr>
        <w:t>autorité publique dans la jouissance du droit au respect de biens soit légale : la seconde phrase du premier alinéa de cet article n</w:t>
      </w:r>
      <w:r w:rsidR="00232ED9" w:rsidRPr="00232ED9">
        <w:rPr>
          <w:lang w:val="fr-FR" w:eastAsia="en-GB"/>
        </w:rPr>
        <w:t>’</w:t>
      </w:r>
      <w:r w:rsidRPr="00232ED9">
        <w:rPr>
          <w:lang w:val="fr-FR" w:eastAsia="en-GB"/>
        </w:rPr>
        <w:t>autorise une privation de propriété que « dans les conditions prévues par la loi » ; le second alinéa reconnaît aux États le droit de réglementer l</w:t>
      </w:r>
      <w:r w:rsidR="00232ED9" w:rsidRPr="00232ED9">
        <w:rPr>
          <w:lang w:val="fr-FR" w:eastAsia="en-GB"/>
        </w:rPr>
        <w:t>’</w:t>
      </w:r>
      <w:r w:rsidRPr="00232ED9">
        <w:rPr>
          <w:lang w:val="fr-FR" w:eastAsia="en-GB"/>
        </w:rPr>
        <w:t>usage des biens en mettant en vigueur des « lois ». De plus, la prééminence du droit, l</w:t>
      </w:r>
      <w:r w:rsidR="00232ED9" w:rsidRPr="00232ED9">
        <w:rPr>
          <w:lang w:val="fr-FR" w:eastAsia="en-GB"/>
        </w:rPr>
        <w:t>’</w:t>
      </w:r>
      <w:r w:rsidRPr="00232ED9">
        <w:rPr>
          <w:lang w:val="fr-FR" w:eastAsia="en-GB"/>
        </w:rPr>
        <w:t>un des principes fondamentaux d</w:t>
      </w:r>
      <w:r w:rsidR="00232ED9" w:rsidRPr="00232ED9">
        <w:rPr>
          <w:lang w:val="fr-FR" w:eastAsia="en-GB"/>
        </w:rPr>
        <w:t>’</w:t>
      </w:r>
      <w:r w:rsidRPr="00232ED9">
        <w:rPr>
          <w:lang w:val="fr-FR" w:eastAsia="en-GB"/>
        </w:rPr>
        <w:t>une société démocratique, est inhérente à l</w:t>
      </w:r>
      <w:r w:rsidR="00232ED9" w:rsidRPr="00232ED9">
        <w:rPr>
          <w:lang w:val="fr-FR" w:eastAsia="en-GB"/>
        </w:rPr>
        <w:t>’</w:t>
      </w:r>
      <w:r w:rsidRPr="00232ED9">
        <w:rPr>
          <w:lang w:val="fr-FR" w:eastAsia="en-GB"/>
        </w:rPr>
        <w:t>ensemble des articles de la Convention (</w:t>
      </w:r>
      <w:r w:rsidRPr="00232ED9">
        <w:rPr>
          <w:i/>
          <w:lang w:val="fr-FR" w:eastAsia="en-GB"/>
        </w:rPr>
        <w:t>Amuur c. France</w:t>
      </w:r>
      <w:r w:rsidRPr="00232ED9">
        <w:rPr>
          <w:lang w:val="fr-FR" w:eastAsia="en-GB"/>
        </w:rPr>
        <w:t xml:space="preserve">, 25 juin 1996, § 50, </w:t>
      </w:r>
      <w:r w:rsidRPr="00232ED9">
        <w:rPr>
          <w:i/>
          <w:lang w:val="fr-FR" w:eastAsia="en-GB"/>
        </w:rPr>
        <w:t>Recueil des arrêts et décisions</w:t>
      </w:r>
      <w:r w:rsidR="00232ED9" w:rsidRPr="00232ED9">
        <w:rPr>
          <w:lang w:val="fr-FR" w:eastAsia="en-GB"/>
        </w:rPr>
        <w:t xml:space="preserve"> 1996</w:t>
      </w:r>
      <w:r w:rsidR="00232ED9" w:rsidRPr="00232ED9">
        <w:rPr>
          <w:lang w:val="fr-FR" w:eastAsia="en-GB"/>
        </w:rPr>
        <w:noBreakHyphen/>
      </w:r>
      <w:r w:rsidRPr="00232ED9">
        <w:rPr>
          <w:lang w:val="fr-FR" w:eastAsia="en-GB"/>
        </w:rPr>
        <w:t>III</w:t>
      </w:r>
      <w:r w:rsidRPr="00232ED9">
        <w:rPr>
          <w:i/>
          <w:lang w:val="fr-FR" w:eastAsia="en-GB"/>
        </w:rPr>
        <w:t>, Iatridis c. Grèce</w:t>
      </w:r>
      <w:r w:rsidRPr="00232ED9">
        <w:rPr>
          <w:lang w:val="fr-FR" w:eastAsia="en-GB"/>
        </w:rPr>
        <w:t xml:space="preserve"> [GC], précité, § 58).</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39</w:t>
      </w:r>
      <w:r w:rsidRPr="00232ED9">
        <w:rPr>
          <w:lang w:eastAsia="en-GB"/>
        </w:rPr>
        <w:fldChar w:fldCharType="end"/>
      </w:r>
      <w:r w:rsidRPr="00232ED9">
        <w:rPr>
          <w:lang w:val="fr-FR" w:eastAsia="en-GB"/>
        </w:rPr>
        <w:t>.  La Cour renvoie ensuite à sa jurisprudence en matière d</w:t>
      </w:r>
      <w:r w:rsidR="00232ED9" w:rsidRPr="00232ED9">
        <w:rPr>
          <w:lang w:val="fr-FR" w:eastAsia="en-GB"/>
        </w:rPr>
        <w:t>’</w:t>
      </w:r>
      <w:r w:rsidRPr="00232ED9">
        <w:rPr>
          <w:lang w:val="fr-FR" w:eastAsia="en-GB"/>
        </w:rPr>
        <w:t xml:space="preserve">expropriation </w:t>
      </w:r>
      <w:bookmarkStart w:id="4" w:name="HIT16"/>
      <w:bookmarkEnd w:id="4"/>
      <w:r w:rsidRPr="00232ED9">
        <w:rPr>
          <w:lang w:val="fr-FR" w:eastAsia="en-GB"/>
        </w:rPr>
        <w:t>indirecte (voir, parmi d</w:t>
      </w:r>
      <w:r w:rsidR="00232ED9" w:rsidRPr="00232ED9">
        <w:rPr>
          <w:lang w:val="fr-FR" w:eastAsia="en-GB"/>
        </w:rPr>
        <w:t>’</w:t>
      </w:r>
      <w:r w:rsidRPr="00232ED9">
        <w:rPr>
          <w:lang w:val="fr-FR" w:eastAsia="en-GB"/>
        </w:rPr>
        <w:t xml:space="preserve">autres, </w:t>
      </w:r>
      <w:r w:rsidRPr="00232ED9">
        <w:rPr>
          <w:i/>
          <w:iCs/>
          <w:lang w:val="fr-FR" w:eastAsia="en-GB"/>
        </w:rPr>
        <w:t>Belvedere Alberghiera S.r.l. c. Italie</w:t>
      </w:r>
      <w:r w:rsidRPr="00232ED9">
        <w:rPr>
          <w:lang w:val="fr-FR" w:eastAsia="en-GB"/>
        </w:rPr>
        <w:t>, n</w:t>
      </w:r>
      <w:r w:rsidRPr="00232ED9">
        <w:rPr>
          <w:vertAlign w:val="superscript"/>
          <w:lang w:val="fr-FR" w:eastAsia="en-GB"/>
        </w:rPr>
        <w:t>o </w:t>
      </w:r>
      <w:r w:rsidR="003D5302" w:rsidRPr="00232ED9">
        <w:rPr>
          <w:lang w:val="fr-FR" w:eastAsia="en-GB"/>
        </w:rPr>
        <w:t>31524/96, CEDH 2000-VI,</w:t>
      </w:r>
      <w:r w:rsidRPr="00232ED9">
        <w:rPr>
          <w:lang w:val="fr-FR" w:eastAsia="en-GB"/>
        </w:rPr>
        <w:t xml:space="preserve"> </w:t>
      </w:r>
      <w:r w:rsidRPr="00232ED9">
        <w:rPr>
          <w:i/>
          <w:iCs/>
          <w:lang w:val="fr-FR" w:eastAsia="en-GB"/>
        </w:rPr>
        <w:t>Scordino c. Italie (n</w:t>
      </w:r>
      <w:r w:rsidRPr="00232ED9">
        <w:rPr>
          <w:i/>
          <w:iCs/>
          <w:vertAlign w:val="superscript"/>
          <w:lang w:val="fr-FR" w:eastAsia="en-GB"/>
        </w:rPr>
        <w:t>o</w:t>
      </w:r>
      <w:r w:rsidRPr="00232ED9">
        <w:rPr>
          <w:i/>
          <w:iCs/>
          <w:lang w:val="fr-FR" w:eastAsia="en-GB"/>
        </w:rPr>
        <w:t xml:space="preserve"> 3)</w:t>
      </w:r>
      <w:r w:rsidRPr="00232ED9">
        <w:rPr>
          <w:lang w:val="fr-FR" w:eastAsia="en-GB"/>
        </w:rPr>
        <w:t>, n</w:t>
      </w:r>
      <w:r w:rsidRPr="00232ED9">
        <w:rPr>
          <w:vertAlign w:val="superscript"/>
          <w:lang w:val="fr-FR" w:eastAsia="en-GB"/>
        </w:rPr>
        <w:t>o </w:t>
      </w:r>
      <w:r w:rsidR="00232ED9" w:rsidRPr="00232ED9">
        <w:rPr>
          <w:lang w:val="fr-FR" w:eastAsia="en-GB"/>
        </w:rPr>
        <w:t xml:space="preserve">43662/98, 17 mai </w:t>
      </w:r>
      <w:r w:rsidR="003D5302" w:rsidRPr="00232ED9">
        <w:rPr>
          <w:lang w:val="fr-FR" w:eastAsia="en-GB"/>
        </w:rPr>
        <w:t>2005</w:t>
      </w:r>
      <w:r w:rsidRPr="00232ED9">
        <w:rPr>
          <w:lang w:val="fr-FR" w:eastAsia="en-GB"/>
        </w:rPr>
        <w:t xml:space="preserve"> et </w:t>
      </w:r>
      <w:r w:rsidRPr="00232ED9">
        <w:rPr>
          <w:i/>
          <w:iCs/>
          <w:lang w:val="fr-FR" w:eastAsia="en-GB"/>
        </w:rPr>
        <w:t>Velocci c. Italie</w:t>
      </w:r>
      <w:r w:rsidRPr="00232ED9">
        <w:rPr>
          <w:lang w:val="fr-FR" w:eastAsia="en-GB"/>
        </w:rPr>
        <w:t>, n</w:t>
      </w:r>
      <w:r w:rsidRPr="00232ED9">
        <w:rPr>
          <w:vertAlign w:val="superscript"/>
          <w:lang w:val="fr-FR" w:eastAsia="en-GB"/>
        </w:rPr>
        <w:t>o</w:t>
      </w:r>
      <w:r w:rsidRPr="00232ED9">
        <w:rPr>
          <w:lang w:val="fr-FR" w:eastAsia="en-GB"/>
        </w:rPr>
        <w:t xml:space="preserve"> 1717/03, 18 mars 2008) pour une récapitulation des principes pertinents et pour un aperçu de sa jurisprudence dans la matière, notamment en ce qui concerne la question du respect du principe de légalité dans cette typologie d</w:t>
      </w:r>
      <w:r w:rsidR="00232ED9" w:rsidRPr="00232ED9">
        <w:rPr>
          <w:lang w:val="fr-FR" w:eastAsia="en-GB"/>
        </w:rPr>
        <w:t>’</w:t>
      </w:r>
      <w:r w:rsidRPr="00232ED9">
        <w:rPr>
          <w:lang w:val="fr-FR" w:eastAsia="en-GB"/>
        </w:rPr>
        <w:t>affaires.</w:t>
      </w:r>
    </w:p>
    <w:p w:rsidR="00CA6410" w:rsidRPr="00232ED9" w:rsidRDefault="00CA6410" w:rsidP="00232ED9">
      <w:pPr>
        <w:pStyle w:val="ECHRPara"/>
        <w:rPr>
          <w:lang w:val="fr-FR" w:eastAsia="en-GB"/>
        </w:rPr>
      </w:pPr>
      <w:r w:rsidRPr="00232ED9">
        <w:rPr>
          <w:lang w:eastAsia="en-GB"/>
        </w:rPr>
        <w:lastRenderedPageBreak/>
        <w:fldChar w:fldCharType="begin"/>
      </w:r>
      <w:r w:rsidRPr="00232ED9">
        <w:rPr>
          <w:lang w:val="fr-FR" w:eastAsia="en-GB"/>
        </w:rPr>
        <w:instrText xml:space="preserve"> SEQ level0 \*arabic </w:instrText>
      </w:r>
      <w:r w:rsidRPr="00232ED9">
        <w:rPr>
          <w:lang w:eastAsia="en-GB"/>
        </w:rPr>
        <w:fldChar w:fldCharType="separate"/>
      </w:r>
      <w:r w:rsidR="00232ED9" w:rsidRPr="00232ED9">
        <w:rPr>
          <w:noProof/>
          <w:lang w:val="fr-FR" w:eastAsia="en-GB"/>
        </w:rPr>
        <w:t>40</w:t>
      </w:r>
      <w:r w:rsidRPr="00232ED9">
        <w:rPr>
          <w:lang w:eastAsia="en-GB"/>
        </w:rPr>
        <w:fldChar w:fldCharType="end"/>
      </w:r>
      <w:r w:rsidRPr="00232ED9">
        <w:rPr>
          <w:lang w:val="fr-FR" w:eastAsia="en-GB"/>
        </w:rPr>
        <w:t>.  Dans la présente affaire, la Cour relève qu</w:t>
      </w:r>
      <w:r w:rsidR="00232ED9" w:rsidRPr="00232ED9">
        <w:rPr>
          <w:lang w:val="fr-FR" w:eastAsia="en-GB"/>
        </w:rPr>
        <w:t>’</w:t>
      </w:r>
      <w:r w:rsidRPr="00232ED9">
        <w:rPr>
          <w:lang w:val="fr-FR" w:eastAsia="en-GB"/>
        </w:rPr>
        <w:t>en appliquant le principe de l</w:t>
      </w:r>
      <w:r w:rsidR="00232ED9" w:rsidRPr="00232ED9">
        <w:rPr>
          <w:lang w:val="fr-FR" w:eastAsia="en-GB"/>
        </w:rPr>
        <w:t>’</w:t>
      </w:r>
      <w:bookmarkStart w:id="5" w:name="HIT19"/>
      <w:bookmarkEnd w:id="5"/>
      <w:r w:rsidRPr="00232ED9">
        <w:rPr>
          <w:lang w:val="fr-FR" w:eastAsia="en-GB"/>
        </w:rPr>
        <w:t xml:space="preserve">expropriation </w:t>
      </w:r>
      <w:bookmarkStart w:id="6" w:name="HIT20"/>
      <w:bookmarkEnd w:id="6"/>
      <w:r w:rsidRPr="00232ED9">
        <w:rPr>
          <w:lang w:val="fr-FR" w:eastAsia="en-GB"/>
        </w:rPr>
        <w:t>indirecte, les juridictions internes ont considéré les requérants privés de leur</w:t>
      </w:r>
      <w:r w:rsidR="00F404E3" w:rsidRPr="00232ED9">
        <w:rPr>
          <w:lang w:val="fr-FR" w:eastAsia="en-GB"/>
        </w:rPr>
        <w:t>s</w:t>
      </w:r>
      <w:r w:rsidRPr="00232ED9">
        <w:rPr>
          <w:lang w:val="fr-FR" w:eastAsia="en-GB"/>
        </w:rPr>
        <w:t xml:space="preserve"> bien</w:t>
      </w:r>
      <w:r w:rsidR="00F404E3" w:rsidRPr="00232ED9">
        <w:rPr>
          <w:lang w:val="fr-FR" w:eastAsia="en-GB"/>
        </w:rPr>
        <w:t>s</w:t>
      </w:r>
      <w:r w:rsidRPr="00232ED9">
        <w:rPr>
          <w:lang w:val="fr-FR" w:eastAsia="en-GB"/>
        </w:rPr>
        <w:t xml:space="preserve"> à compter de la date de la cessation de la période d</w:t>
      </w:r>
      <w:r w:rsidR="00232ED9" w:rsidRPr="00232ED9">
        <w:rPr>
          <w:lang w:val="fr-FR" w:eastAsia="en-GB"/>
        </w:rPr>
        <w:t>’</w:t>
      </w:r>
      <w:r w:rsidRPr="00232ED9">
        <w:rPr>
          <w:lang w:val="fr-FR" w:eastAsia="en-GB"/>
        </w:rPr>
        <w:t>occupation légitime. Or, en l</w:t>
      </w:r>
      <w:r w:rsidR="00232ED9" w:rsidRPr="00232ED9">
        <w:rPr>
          <w:lang w:val="fr-FR" w:eastAsia="en-GB"/>
        </w:rPr>
        <w:t>’</w:t>
      </w:r>
      <w:r w:rsidRPr="00232ED9">
        <w:rPr>
          <w:lang w:val="fr-FR" w:eastAsia="en-GB"/>
        </w:rPr>
        <w:t>absence d</w:t>
      </w:r>
      <w:r w:rsidR="00232ED9" w:rsidRPr="00232ED9">
        <w:rPr>
          <w:lang w:val="fr-FR" w:eastAsia="en-GB"/>
        </w:rPr>
        <w:t>’</w:t>
      </w:r>
      <w:r w:rsidRPr="00232ED9">
        <w:rPr>
          <w:lang w:val="fr-FR" w:eastAsia="en-GB"/>
        </w:rPr>
        <w:t>un acte formel d</w:t>
      </w:r>
      <w:r w:rsidR="00232ED9" w:rsidRPr="00232ED9">
        <w:rPr>
          <w:lang w:val="fr-FR" w:eastAsia="en-GB"/>
        </w:rPr>
        <w:t>’</w:t>
      </w:r>
      <w:r w:rsidRPr="00232ED9">
        <w:rPr>
          <w:lang w:val="fr-FR" w:eastAsia="en-GB"/>
        </w:rPr>
        <w:t>expropriation, la Cour estime que cette situation ne saurait être considérée comme « prévisible », puisque ce n</w:t>
      </w:r>
      <w:r w:rsidR="00232ED9" w:rsidRPr="00232ED9">
        <w:rPr>
          <w:lang w:val="fr-FR" w:eastAsia="en-GB"/>
        </w:rPr>
        <w:t>’</w:t>
      </w:r>
      <w:r w:rsidRPr="00232ED9">
        <w:rPr>
          <w:lang w:val="fr-FR" w:eastAsia="en-GB"/>
        </w:rPr>
        <w:t>est que par la décision judiciaire définitive que l</w:t>
      </w:r>
      <w:r w:rsidR="00232ED9" w:rsidRPr="00232ED9">
        <w:rPr>
          <w:lang w:val="fr-FR" w:eastAsia="en-GB"/>
        </w:rPr>
        <w:t>’</w:t>
      </w:r>
      <w:r w:rsidRPr="00232ED9">
        <w:rPr>
          <w:lang w:val="fr-FR" w:eastAsia="en-GB"/>
        </w:rPr>
        <w:t>on peut considérer le principe de l</w:t>
      </w:r>
      <w:r w:rsidR="00232ED9" w:rsidRPr="00232ED9">
        <w:rPr>
          <w:lang w:val="fr-FR" w:eastAsia="en-GB"/>
        </w:rPr>
        <w:t>’</w:t>
      </w:r>
      <w:bookmarkStart w:id="7" w:name="HIT21"/>
      <w:bookmarkEnd w:id="7"/>
      <w:r w:rsidRPr="00232ED9">
        <w:rPr>
          <w:lang w:val="fr-FR" w:eastAsia="en-GB"/>
        </w:rPr>
        <w:t xml:space="preserve">expropriation </w:t>
      </w:r>
      <w:bookmarkStart w:id="8" w:name="HIT22"/>
      <w:bookmarkEnd w:id="8"/>
      <w:r w:rsidRPr="00232ED9">
        <w:rPr>
          <w:lang w:val="fr-FR" w:eastAsia="en-GB"/>
        </w:rPr>
        <w:t>indirecte comme ayant effectivement été appliqué et que l</w:t>
      </w:r>
      <w:r w:rsidR="00232ED9" w:rsidRPr="00232ED9">
        <w:rPr>
          <w:lang w:val="fr-FR" w:eastAsia="en-GB"/>
        </w:rPr>
        <w:t>’</w:t>
      </w:r>
      <w:r w:rsidRPr="00232ED9">
        <w:rPr>
          <w:lang w:val="fr-FR" w:eastAsia="en-GB"/>
        </w:rPr>
        <w:t>acquisition d</w:t>
      </w:r>
      <w:r w:rsidR="00F404E3" w:rsidRPr="00232ED9">
        <w:rPr>
          <w:lang w:val="fr-FR" w:eastAsia="en-GB"/>
        </w:rPr>
        <w:t>es</w:t>
      </w:r>
      <w:r w:rsidRPr="00232ED9">
        <w:rPr>
          <w:lang w:val="fr-FR" w:eastAsia="en-GB"/>
        </w:rPr>
        <w:t xml:space="preserve"> terrain</w:t>
      </w:r>
      <w:r w:rsidR="00F404E3" w:rsidRPr="00232ED9">
        <w:rPr>
          <w:lang w:val="fr-FR" w:eastAsia="en-GB"/>
        </w:rPr>
        <w:t>s</w:t>
      </w:r>
      <w:r w:rsidRPr="00232ED9">
        <w:rPr>
          <w:lang w:val="fr-FR" w:eastAsia="en-GB"/>
        </w:rPr>
        <w:t xml:space="preserve"> par les pouvoirs publics a été consacrée. Par conséquent, les requérants n</w:t>
      </w:r>
      <w:r w:rsidR="00232ED9" w:rsidRPr="00232ED9">
        <w:rPr>
          <w:lang w:val="fr-FR" w:eastAsia="en-GB"/>
        </w:rPr>
        <w:t>’</w:t>
      </w:r>
      <w:r w:rsidRPr="00232ED9">
        <w:rPr>
          <w:lang w:val="fr-FR" w:eastAsia="en-GB"/>
        </w:rPr>
        <w:t>ont eu la sécurité juridique concernant la privation</w:t>
      </w:r>
      <w:r w:rsidR="00710547" w:rsidRPr="00232ED9">
        <w:rPr>
          <w:lang w:val="fr-FR" w:eastAsia="en-GB"/>
        </w:rPr>
        <w:t xml:space="preserve"> de la propriété</w:t>
      </w:r>
      <w:r w:rsidRPr="00232ED9">
        <w:rPr>
          <w:lang w:val="fr-FR" w:eastAsia="en-GB"/>
        </w:rPr>
        <w:t xml:space="preserve"> d</w:t>
      </w:r>
      <w:r w:rsidR="00F404E3" w:rsidRPr="00232ED9">
        <w:rPr>
          <w:lang w:val="fr-FR" w:eastAsia="en-GB"/>
        </w:rPr>
        <w:t>es</w:t>
      </w:r>
      <w:r w:rsidRPr="00232ED9">
        <w:rPr>
          <w:lang w:val="fr-FR" w:eastAsia="en-GB"/>
        </w:rPr>
        <w:t xml:space="preserve"> terrain</w:t>
      </w:r>
      <w:r w:rsidR="00F404E3" w:rsidRPr="00232ED9">
        <w:rPr>
          <w:lang w:val="fr-FR" w:eastAsia="en-GB"/>
        </w:rPr>
        <w:t>s</w:t>
      </w:r>
      <w:r w:rsidRPr="00232ED9">
        <w:rPr>
          <w:lang w:val="fr-FR" w:eastAsia="en-GB"/>
        </w:rPr>
        <w:t xml:space="preserve"> qu</w:t>
      </w:r>
      <w:r w:rsidR="00232ED9" w:rsidRPr="00232ED9">
        <w:rPr>
          <w:lang w:val="fr-FR" w:eastAsia="en-GB"/>
        </w:rPr>
        <w:t>’</w:t>
      </w:r>
      <w:r w:rsidRPr="00232ED9">
        <w:rPr>
          <w:lang w:val="fr-FR" w:eastAsia="en-GB"/>
        </w:rPr>
        <w:t xml:space="preserve">au plus tôt le </w:t>
      </w:r>
      <w:r w:rsidR="00DE3BDB" w:rsidRPr="00232ED9">
        <w:rPr>
          <w:lang w:val="fr-FR" w:eastAsia="en-GB"/>
        </w:rPr>
        <w:t>21 janvier 2006</w:t>
      </w:r>
      <w:r w:rsidRPr="00232ED9">
        <w:rPr>
          <w:lang w:val="fr-FR" w:eastAsia="en-GB"/>
        </w:rPr>
        <w:t>, date à laquelle le jugement de la cour d</w:t>
      </w:r>
      <w:r w:rsidR="00232ED9" w:rsidRPr="00232ED9">
        <w:rPr>
          <w:lang w:val="fr-FR" w:eastAsia="en-GB"/>
        </w:rPr>
        <w:t>’</w:t>
      </w:r>
      <w:r w:rsidRPr="00232ED9">
        <w:rPr>
          <w:lang w:val="fr-FR" w:eastAsia="en-GB"/>
        </w:rPr>
        <w:t>appel de Palerme est devenu définitif.</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41</w:t>
      </w:r>
      <w:r w:rsidRPr="00232ED9">
        <w:rPr>
          <w:lang w:eastAsia="en-GB"/>
        </w:rPr>
        <w:fldChar w:fldCharType="end"/>
      </w:r>
      <w:r w:rsidRPr="00232ED9">
        <w:rPr>
          <w:lang w:val="fr-FR" w:eastAsia="en-GB"/>
        </w:rPr>
        <w:t>.  La Cour observe ensuite que la situation en cause a permis à l</w:t>
      </w:r>
      <w:r w:rsidR="00232ED9" w:rsidRPr="00232ED9">
        <w:rPr>
          <w:lang w:val="fr-FR" w:eastAsia="en-GB"/>
        </w:rPr>
        <w:t>’</w:t>
      </w:r>
      <w:r w:rsidRPr="00232ED9">
        <w:rPr>
          <w:lang w:val="fr-FR" w:eastAsia="en-GB"/>
        </w:rPr>
        <w:t>administration de tirer parti d</w:t>
      </w:r>
      <w:r w:rsidR="00232ED9" w:rsidRPr="00232ED9">
        <w:rPr>
          <w:lang w:val="fr-FR" w:eastAsia="en-GB"/>
        </w:rPr>
        <w:t>’</w:t>
      </w:r>
      <w:r w:rsidRPr="00232ED9">
        <w:rPr>
          <w:lang w:val="fr-FR" w:eastAsia="en-GB"/>
        </w:rPr>
        <w:t>une occupation de terrain illégale. En d</w:t>
      </w:r>
      <w:r w:rsidR="00232ED9" w:rsidRPr="00232ED9">
        <w:rPr>
          <w:lang w:val="fr-FR" w:eastAsia="en-GB"/>
        </w:rPr>
        <w:t>’</w:t>
      </w:r>
      <w:r w:rsidRPr="00232ED9">
        <w:rPr>
          <w:lang w:val="fr-FR" w:eastAsia="en-GB"/>
        </w:rPr>
        <w:t>autres termes, l</w:t>
      </w:r>
      <w:r w:rsidR="00232ED9" w:rsidRPr="00232ED9">
        <w:rPr>
          <w:lang w:val="fr-FR" w:eastAsia="en-GB"/>
        </w:rPr>
        <w:t>’</w:t>
      </w:r>
      <w:r w:rsidRPr="00232ED9">
        <w:rPr>
          <w:lang w:val="fr-FR" w:eastAsia="en-GB"/>
        </w:rPr>
        <w:t>administration a pu s</w:t>
      </w:r>
      <w:r w:rsidR="00232ED9" w:rsidRPr="00232ED9">
        <w:rPr>
          <w:lang w:val="fr-FR" w:eastAsia="en-GB"/>
        </w:rPr>
        <w:t>’</w:t>
      </w:r>
      <w:r w:rsidRPr="00232ED9">
        <w:rPr>
          <w:lang w:val="fr-FR" w:eastAsia="en-GB"/>
        </w:rPr>
        <w:t>approprier le terrain au mépris des règles régissant l</w:t>
      </w:r>
      <w:r w:rsidR="00232ED9" w:rsidRPr="00232ED9">
        <w:rPr>
          <w:lang w:val="fr-FR" w:eastAsia="en-GB"/>
        </w:rPr>
        <w:t>’</w:t>
      </w:r>
      <w:r w:rsidRPr="00232ED9">
        <w:rPr>
          <w:lang w:val="fr-FR" w:eastAsia="en-GB"/>
        </w:rPr>
        <w:t>expropriation en bonne et due forme.</w:t>
      </w:r>
    </w:p>
    <w:p w:rsidR="00CA6410" w:rsidRPr="00232ED9" w:rsidRDefault="00CA6410" w:rsidP="00232ED9">
      <w:pPr>
        <w:pStyle w:val="ECHRPara"/>
        <w:rPr>
          <w:lang w:val="fr-FR" w:eastAsia="en-GB"/>
        </w:rPr>
      </w:pPr>
      <w:r w:rsidRPr="00232ED9">
        <w:rPr>
          <w:lang w:eastAsia="en-GB"/>
        </w:rPr>
        <w:fldChar w:fldCharType="begin"/>
      </w:r>
      <w:r w:rsidRPr="00232ED9">
        <w:rPr>
          <w:lang w:val="fr-FR" w:eastAsia="en-GB"/>
        </w:rPr>
        <w:instrText xml:space="preserve"> SEQ level0 \*arabic </w:instrText>
      </w:r>
      <w:r w:rsidRPr="00232ED9">
        <w:rPr>
          <w:lang w:eastAsia="en-GB"/>
        </w:rPr>
        <w:fldChar w:fldCharType="separate"/>
      </w:r>
      <w:r w:rsidR="00232ED9" w:rsidRPr="00232ED9">
        <w:rPr>
          <w:noProof/>
          <w:lang w:val="fr-FR" w:eastAsia="en-GB"/>
        </w:rPr>
        <w:t>42</w:t>
      </w:r>
      <w:r w:rsidRPr="00232ED9">
        <w:rPr>
          <w:lang w:eastAsia="en-GB"/>
        </w:rPr>
        <w:fldChar w:fldCharType="end"/>
      </w:r>
      <w:r w:rsidRPr="00232ED9">
        <w:rPr>
          <w:lang w:val="fr-FR" w:eastAsia="en-GB"/>
        </w:rPr>
        <w:t>.  À la lumière de ces considérations, la Cour estime que l</w:t>
      </w:r>
      <w:r w:rsidR="00232ED9" w:rsidRPr="00232ED9">
        <w:rPr>
          <w:lang w:val="fr-FR" w:eastAsia="en-GB"/>
        </w:rPr>
        <w:t>’</w:t>
      </w:r>
      <w:r w:rsidRPr="00232ED9">
        <w:rPr>
          <w:lang w:val="fr-FR" w:eastAsia="en-GB"/>
        </w:rPr>
        <w:t>ingérence litigieuse n</w:t>
      </w:r>
      <w:r w:rsidR="00232ED9" w:rsidRPr="00232ED9">
        <w:rPr>
          <w:lang w:val="fr-FR" w:eastAsia="en-GB"/>
        </w:rPr>
        <w:t>’</w:t>
      </w:r>
      <w:r w:rsidRPr="00232ED9">
        <w:rPr>
          <w:lang w:val="fr-FR" w:eastAsia="en-GB"/>
        </w:rPr>
        <w:t>est pas compatible avec le principe de légalité et qu</w:t>
      </w:r>
      <w:r w:rsidR="00232ED9" w:rsidRPr="00232ED9">
        <w:rPr>
          <w:lang w:val="fr-FR" w:eastAsia="en-GB"/>
        </w:rPr>
        <w:t>’</w:t>
      </w:r>
      <w:r w:rsidRPr="00232ED9">
        <w:rPr>
          <w:lang w:val="fr-FR" w:eastAsia="en-GB"/>
        </w:rPr>
        <w:t>elle a donc enfreint le droit au respect des biens des requérants.</w:t>
      </w:r>
    </w:p>
    <w:p w:rsidR="00CA6410" w:rsidRPr="00232ED9" w:rsidRDefault="00CA6410" w:rsidP="00232ED9">
      <w:pPr>
        <w:pStyle w:val="ECHRPara"/>
        <w:rPr>
          <w:lang w:val="fr-FR" w:eastAsia="en-GB"/>
        </w:rPr>
      </w:pPr>
      <w:r w:rsidRPr="00232ED9">
        <w:rPr>
          <w:lang w:val="fr-FR" w:eastAsia="en-GB"/>
        </w:rPr>
        <w:fldChar w:fldCharType="begin"/>
      </w:r>
      <w:r w:rsidRPr="00232ED9">
        <w:rPr>
          <w:lang w:val="fr-FR" w:eastAsia="en-GB"/>
        </w:rPr>
        <w:instrText xml:space="preserve"> SEQ level0 \*arabic </w:instrText>
      </w:r>
      <w:r w:rsidRPr="00232ED9">
        <w:rPr>
          <w:lang w:val="fr-FR" w:eastAsia="en-GB"/>
        </w:rPr>
        <w:fldChar w:fldCharType="separate"/>
      </w:r>
      <w:r w:rsidR="00232ED9" w:rsidRPr="00232ED9">
        <w:rPr>
          <w:noProof/>
          <w:lang w:val="fr-FR" w:eastAsia="en-GB"/>
        </w:rPr>
        <w:t>43</w:t>
      </w:r>
      <w:r w:rsidRPr="00232ED9">
        <w:rPr>
          <w:lang w:eastAsia="en-GB"/>
        </w:rPr>
        <w:fldChar w:fldCharType="end"/>
      </w:r>
      <w:r w:rsidRPr="00232ED9">
        <w:rPr>
          <w:lang w:val="fr-FR" w:eastAsia="en-GB"/>
        </w:rPr>
        <w:t>.  Dès lors, il y a eu violation de l</w:t>
      </w:r>
      <w:r w:rsidR="00232ED9" w:rsidRPr="00232ED9">
        <w:rPr>
          <w:lang w:val="fr-FR" w:eastAsia="en-GB"/>
        </w:rPr>
        <w:t>’</w:t>
      </w:r>
      <w:r w:rsidRPr="00232ED9">
        <w:rPr>
          <w:lang w:val="fr-FR" w:eastAsia="en-GB"/>
        </w:rPr>
        <w:t>article 1 du Protocole n</w:t>
      </w:r>
      <w:r w:rsidRPr="00232ED9">
        <w:rPr>
          <w:vertAlign w:val="superscript"/>
          <w:lang w:val="fr-FR" w:eastAsia="en-GB"/>
        </w:rPr>
        <w:t>o</w:t>
      </w:r>
      <w:r w:rsidRPr="00232ED9">
        <w:rPr>
          <w:lang w:val="fr-FR" w:eastAsia="en-GB"/>
        </w:rPr>
        <w:t xml:space="preserve"> 1.</w:t>
      </w:r>
    </w:p>
    <w:p w:rsidR="00DC3C0F" w:rsidRPr="00232ED9" w:rsidRDefault="006C37C7" w:rsidP="00232ED9">
      <w:pPr>
        <w:pStyle w:val="ECHRHeading1"/>
        <w:rPr>
          <w:lang w:val="fr-FR"/>
        </w:rPr>
      </w:pPr>
      <w:r w:rsidRPr="00232ED9">
        <w:rPr>
          <w:lang w:val="fr-FR"/>
        </w:rPr>
        <w:t>I</w:t>
      </w:r>
      <w:r w:rsidR="00710547" w:rsidRPr="00232ED9">
        <w:rPr>
          <w:lang w:val="fr-FR"/>
        </w:rPr>
        <w:t>II</w:t>
      </w:r>
      <w:r w:rsidRPr="00232ED9">
        <w:rPr>
          <w:lang w:val="fr-FR"/>
        </w:rPr>
        <w:t xml:space="preserve">.  SUR </w:t>
      </w:r>
      <w:r w:rsidR="00C051C3" w:rsidRPr="00232ED9">
        <w:rPr>
          <w:lang w:val="fr-FR"/>
        </w:rPr>
        <w:t>LA VIOLATION</w:t>
      </w:r>
      <w:r w:rsidRPr="00232ED9">
        <w:rPr>
          <w:lang w:val="fr-FR"/>
        </w:rPr>
        <w:t xml:space="preserve"> ALLÉGUÉE</w:t>
      </w:r>
      <w:r w:rsidR="008655A3" w:rsidRPr="00232ED9">
        <w:rPr>
          <w:lang w:val="fr-FR"/>
        </w:rPr>
        <w:t xml:space="preserve"> DE L</w:t>
      </w:r>
      <w:r w:rsidR="00232ED9" w:rsidRPr="00232ED9">
        <w:rPr>
          <w:lang w:val="fr-FR"/>
        </w:rPr>
        <w:t>’</w:t>
      </w:r>
      <w:r w:rsidR="008655A3" w:rsidRPr="00232ED9">
        <w:rPr>
          <w:lang w:val="fr-FR"/>
        </w:rPr>
        <w:t>ARTICLE 6 § 1 DE LA CONVENTION</w:t>
      </w:r>
    </w:p>
    <w:p w:rsidR="008655A3" w:rsidRPr="00232ED9" w:rsidRDefault="00A1634C" w:rsidP="00232ED9">
      <w:pPr>
        <w:pStyle w:val="ECHRPara"/>
        <w:rPr>
          <w:lang w:val="fr-FR" w:eastAsia="en-GB"/>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44</w:t>
      </w:r>
      <w:r w:rsidRPr="00232ED9">
        <w:rPr>
          <w:lang w:val="fr-FR"/>
        </w:rPr>
        <w:fldChar w:fldCharType="end"/>
      </w:r>
      <w:r w:rsidRPr="00232ED9">
        <w:rPr>
          <w:lang w:val="fr-FR"/>
        </w:rPr>
        <w:t>.  </w:t>
      </w:r>
      <w:r w:rsidR="005E1B72" w:rsidRPr="00232ED9">
        <w:rPr>
          <w:lang w:val="fr-FR"/>
        </w:rPr>
        <w:t>Les requérants se plai</w:t>
      </w:r>
      <w:r w:rsidR="00DB3F49" w:rsidRPr="00232ED9">
        <w:rPr>
          <w:lang w:val="fr-FR"/>
        </w:rPr>
        <w:t>gnen</w:t>
      </w:r>
      <w:r w:rsidR="005E1B72" w:rsidRPr="00232ED9">
        <w:rPr>
          <w:lang w:val="fr-FR"/>
        </w:rPr>
        <w:t xml:space="preserve">t </w:t>
      </w:r>
      <w:r w:rsidR="008655A3" w:rsidRPr="00232ED9">
        <w:rPr>
          <w:lang w:val="fr-FR"/>
        </w:rPr>
        <w:t>de l</w:t>
      </w:r>
      <w:r w:rsidR="00232ED9" w:rsidRPr="00232ED9">
        <w:rPr>
          <w:lang w:val="fr-FR"/>
        </w:rPr>
        <w:t>’</w:t>
      </w:r>
      <w:r w:rsidR="008655A3" w:rsidRPr="00232ED9">
        <w:rPr>
          <w:lang w:val="fr-FR"/>
        </w:rPr>
        <w:t>absence d</w:t>
      </w:r>
      <w:r w:rsidR="00232ED9" w:rsidRPr="00232ED9">
        <w:rPr>
          <w:lang w:val="fr-FR"/>
        </w:rPr>
        <w:t>’</w:t>
      </w:r>
      <w:r w:rsidR="008655A3" w:rsidRPr="00232ED9">
        <w:rPr>
          <w:lang w:val="fr-FR"/>
        </w:rPr>
        <w:t>équité de la procédure. Il</w:t>
      </w:r>
      <w:r w:rsidR="005E1B72" w:rsidRPr="00232ED9">
        <w:rPr>
          <w:lang w:val="fr-FR"/>
        </w:rPr>
        <w:t>s</w:t>
      </w:r>
      <w:r w:rsidR="008655A3" w:rsidRPr="00232ED9">
        <w:rPr>
          <w:lang w:val="fr-FR"/>
        </w:rPr>
        <w:t xml:space="preserve"> f</w:t>
      </w:r>
      <w:r w:rsidR="005E1B72" w:rsidRPr="00232ED9">
        <w:rPr>
          <w:lang w:val="fr-FR"/>
        </w:rPr>
        <w:t>ont</w:t>
      </w:r>
      <w:r w:rsidR="008655A3" w:rsidRPr="00232ED9">
        <w:rPr>
          <w:lang w:val="fr-FR"/>
        </w:rPr>
        <w:t xml:space="preserve"> valoir qu</w:t>
      </w:r>
      <w:r w:rsidR="00232ED9" w:rsidRPr="00232ED9">
        <w:rPr>
          <w:lang w:val="fr-FR"/>
        </w:rPr>
        <w:t>’</w:t>
      </w:r>
      <w:r w:rsidR="008655A3" w:rsidRPr="00232ED9">
        <w:rPr>
          <w:lang w:val="fr-FR"/>
        </w:rPr>
        <w:t>il</w:t>
      </w:r>
      <w:r w:rsidR="005E1B72" w:rsidRPr="00232ED9">
        <w:rPr>
          <w:lang w:val="fr-FR"/>
        </w:rPr>
        <w:t>s</w:t>
      </w:r>
      <w:r w:rsidR="008655A3" w:rsidRPr="00232ED9">
        <w:rPr>
          <w:lang w:val="fr-FR"/>
        </w:rPr>
        <w:t xml:space="preserve"> ne </w:t>
      </w:r>
      <w:r w:rsidR="005E1B72" w:rsidRPr="00232ED9">
        <w:rPr>
          <w:lang w:val="fr-FR"/>
        </w:rPr>
        <w:t>peuvent</w:t>
      </w:r>
      <w:r w:rsidR="008655A3" w:rsidRPr="00232ED9">
        <w:rPr>
          <w:lang w:val="fr-FR"/>
        </w:rPr>
        <w:t xml:space="preserve"> pas être </w:t>
      </w:r>
      <w:r w:rsidR="00DB3F49" w:rsidRPr="00232ED9">
        <w:rPr>
          <w:lang w:val="fr-FR"/>
        </w:rPr>
        <w:t>dédommagés</w:t>
      </w:r>
      <w:r w:rsidR="008655A3" w:rsidRPr="00232ED9">
        <w:rPr>
          <w:lang w:val="fr-FR"/>
        </w:rPr>
        <w:t xml:space="preserve"> à hauteur de la valeur vénale du terrain par effet de la loi n</w:t>
      </w:r>
      <w:r w:rsidR="00D4706F" w:rsidRPr="00232ED9">
        <w:rPr>
          <w:vertAlign w:val="superscript"/>
          <w:lang w:val="fr-FR"/>
        </w:rPr>
        <w:t>o</w:t>
      </w:r>
      <w:r w:rsidR="008655A3" w:rsidRPr="00232ED9">
        <w:rPr>
          <w:lang w:val="fr-FR"/>
        </w:rPr>
        <w:t> 662 de 1996, entrée en vigueur en cours de procédure.</w:t>
      </w:r>
      <w:r w:rsidR="00DB3F49" w:rsidRPr="00232ED9">
        <w:rPr>
          <w:lang w:val="fr-FR"/>
        </w:rPr>
        <w:t xml:space="preserve"> Ils invoquent</w:t>
      </w:r>
      <w:r w:rsidR="001514F3" w:rsidRPr="00232ED9">
        <w:rPr>
          <w:lang w:val="fr-FR"/>
        </w:rPr>
        <w:t xml:space="preserve"> l</w:t>
      </w:r>
      <w:r w:rsidR="00232ED9" w:rsidRPr="00232ED9">
        <w:rPr>
          <w:lang w:val="fr-FR"/>
        </w:rPr>
        <w:t>’</w:t>
      </w:r>
      <w:r w:rsidR="001514F3" w:rsidRPr="00232ED9">
        <w:rPr>
          <w:lang w:val="fr-FR"/>
        </w:rPr>
        <w:t xml:space="preserve">article 6 § 1 de la Convention, qui, en ses passages pertinents, dispose </w:t>
      </w:r>
      <w:r w:rsidR="008655A3" w:rsidRPr="00232ED9">
        <w:rPr>
          <w:lang w:val="fr-FR" w:eastAsia="en-GB"/>
        </w:rPr>
        <w:t>:</w:t>
      </w:r>
    </w:p>
    <w:p w:rsidR="008655A3" w:rsidRPr="00232ED9" w:rsidRDefault="008655A3" w:rsidP="00232ED9">
      <w:pPr>
        <w:pStyle w:val="ECHRParaQuote"/>
        <w:rPr>
          <w:lang w:val="fr-FR" w:eastAsia="en-GB"/>
        </w:rPr>
      </w:pPr>
      <w:r w:rsidRPr="00232ED9">
        <w:rPr>
          <w:lang w:val="fr-FR" w:eastAsia="en-GB"/>
        </w:rPr>
        <w:t>« Toute personne a droit à ce que sa cause soit entendue équitablement (...) par un tribunal (...), qui décidera (...) des contestations sur ses droits et obligations de caractère civil (...) »</w:t>
      </w:r>
    </w:p>
    <w:p w:rsidR="005B7AB3" w:rsidRPr="00232ED9" w:rsidRDefault="00E21B57"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45</w:t>
      </w:r>
      <w:r w:rsidRPr="00232ED9">
        <w:rPr>
          <w:lang w:val="fr-FR"/>
        </w:rPr>
        <w:fldChar w:fldCharType="end"/>
      </w:r>
      <w:r w:rsidRPr="00232ED9">
        <w:rPr>
          <w:lang w:val="fr-FR"/>
        </w:rPr>
        <w:t>.  La Cour relève que ce grief est lié à celui examiné ci-dessus et doit donc aussi être déclaré recevable.</w:t>
      </w:r>
    </w:p>
    <w:p w:rsidR="005B7AB3" w:rsidRPr="00232ED9" w:rsidRDefault="005B7AB3"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46</w:t>
      </w:r>
      <w:r w:rsidRPr="00232ED9">
        <w:rPr>
          <w:lang w:val="fr-FR"/>
        </w:rPr>
        <w:fldChar w:fldCharType="end"/>
      </w:r>
      <w:r w:rsidRPr="00232ED9">
        <w:rPr>
          <w:lang w:val="fr-FR"/>
        </w:rPr>
        <w:t>.  La Cour vient de constater, sous l</w:t>
      </w:r>
      <w:r w:rsidR="00232ED9" w:rsidRPr="00232ED9">
        <w:rPr>
          <w:lang w:val="fr-FR"/>
        </w:rPr>
        <w:t>’</w:t>
      </w:r>
      <w:r w:rsidRPr="00232ED9">
        <w:rPr>
          <w:lang w:val="fr-FR"/>
        </w:rPr>
        <w:t>angle de l</w:t>
      </w:r>
      <w:r w:rsidR="00232ED9" w:rsidRPr="00232ED9">
        <w:rPr>
          <w:lang w:val="fr-FR"/>
        </w:rPr>
        <w:t>’</w:t>
      </w:r>
      <w:r w:rsidRPr="00232ED9">
        <w:rPr>
          <w:lang w:val="fr-FR"/>
        </w:rPr>
        <w:t>article 1 du Protocole n</w:t>
      </w:r>
      <w:r w:rsidRPr="00232ED9">
        <w:rPr>
          <w:vertAlign w:val="superscript"/>
          <w:lang w:val="fr-FR"/>
        </w:rPr>
        <w:t>o </w:t>
      </w:r>
      <w:r w:rsidRPr="00232ED9">
        <w:rPr>
          <w:lang w:val="fr-FR"/>
        </w:rPr>
        <w:t>1, que la situation dénoncée par les requérants n</w:t>
      </w:r>
      <w:r w:rsidR="00232ED9" w:rsidRPr="00232ED9">
        <w:rPr>
          <w:lang w:val="fr-FR"/>
        </w:rPr>
        <w:t>’</w:t>
      </w:r>
      <w:r w:rsidRPr="00232ED9">
        <w:rPr>
          <w:lang w:val="fr-FR"/>
        </w:rPr>
        <w:t>est pas conforme au principe de légalité. Eu égard aux motifs l</w:t>
      </w:r>
      <w:r w:rsidR="00232ED9" w:rsidRPr="00232ED9">
        <w:rPr>
          <w:lang w:val="fr-FR"/>
        </w:rPr>
        <w:t>’</w:t>
      </w:r>
      <w:r w:rsidRPr="00232ED9">
        <w:rPr>
          <w:lang w:val="fr-FR"/>
        </w:rPr>
        <w:t>ayant amenée à ce constat de violation, elle estime qu</w:t>
      </w:r>
      <w:r w:rsidR="00232ED9" w:rsidRPr="00232ED9">
        <w:rPr>
          <w:lang w:val="fr-FR"/>
        </w:rPr>
        <w:t>’</w:t>
      </w:r>
      <w:r w:rsidRPr="00232ED9">
        <w:rPr>
          <w:lang w:val="fr-FR"/>
        </w:rPr>
        <w:t>il n</w:t>
      </w:r>
      <w:r w:rsidR="00232ED9" w:rsidRPr="00232ED9">
        <w:rPr>
          <w:lang w:val="fr-FR"/>
        </w:rPr>
        <w:t>’</w:t>
      </w:r>
      <w:r w:rsidRPr="00232ED9">
        <w:rPr>
          <w:lang w:val="fr-FR"/>
        </w:rPr>
        <w:t>y a pas lieu d</w:t>
      </w:r>
      <w:r w:rsidR="00232ED9" w:rsidRPr="00232ED9">
        <w:rPr>
          <w:lang w:val="fr-FR"/>
        </w:rPr>
        <w:t>’</w:t>
      </w:r>
      <w:r w:rsidRPr="00232ED9">
        <w:rPr>
          <w:lang w:val="fr-FR"/>
        </w:rPr>
        <w:t>examiner séparément s</w:t>
      </w:r>
      <w:r w:rsidR="00232ED9" w:rsidRPr="00232ED9">
        <w:rPr>
          <w:lang w:val="fr-FR"/>
        </w:rPr>
        <w:t>’</w:t>
      </w:r>
      <w:r w:rsidRPr="00232ED9">
        <w:rPr>
          <w:lang w:val="fr-FR"/>
        </w:rPr>
        <w:t>il y a eu, en l</w:t>
      </w:r>
      <w:r w:rsidR="00232ED9" w:rsidRPr="00232ED9">
        <w:rPr>
          <w:lang w:val="fr-FR"/>
        </w:rPr>
        <w:t>’</w:t>
      </w:r>
      <w:r w:rsidRPr="00232ED9">
        <w:rPr>
          <w:lang w:val="fr-FR"/>
        </w:rPr>
        <w:t>espèce, violation de l</w:t>
      </w:r>
      <w:r w:rsidR="00232ED9" w:rsidRPr="00232ED9">
        <w:rPr>
          <w:lang w:val="fr-FR"/>
        </w:rPr>
        <w:t>’</w:t>
      </w:r>
      <w:r w:rsidRPr="00232ED9">
        <w:rPr>
          <w:lang w:val="fr-FR"/>
        </w:rPr>
        <w:t xml:space="preserve">article 6 § 1 (voir </w:t>
      </w:r>
      <w:r w:rsidR="00232ED9" w:rsidRPr="00232ED9">
        <w:rPr>
          <w:i/>
          <w:lang w:val="fr-FR"/>
        </w:rPr>
        <w:t xml:space="preserve">Macrì et autres </w:t>
      </w:r>
      <w:r w:rsidRPr="00232ED9">
        <w:rPr>
          <w:i/>
          <w:lang w:val="fr-FR"/>
        </w:rPr>
        <w:t>c. Italie</w:t>
      </w:r>
      <w:r w:rsidRPr="00232ED9">
        <w:rPr>
          <w:lang w:val="fr-FR"/>
        </w:rPr>
        <w:t xml:space="preserve">, précité, § 49, </w:t>
      </w:r>
      <w:r w:rsidRPr="00232ED9">
        <w:rPr>
          <w:i/>
          <w:lang w:val="fr-FR"/>
        </w:rPr>
        <w:t>Rivera et di Bonaventura c. Italie</w:t>
      </w:r>
      <w:r w:rsidRPr="00232ED9">
        <w:rPr>
          <w:lang w:val="fr-FR"/>
        </w:rPr>
        <w:t xml:space="preserve">, précité, § 30, </w:t>
      </w:r>
      <w:r w:rsidRPr="00232ED9">
        <w:rPr>
          <w:i/>
          <w:lang w:val="fr-FR"/>
        </w:rPr>
        <w:t>Iandoli c. Italie</w:t>
      </w:r>
      <w:r w:rsidRPr="00232ED9">
        <w:rPr>
          <w:lang w:val="fr-FR"/>
        </w:rPr>
        <w:t>, n</w:t>
      </w:r>
      <w:r w:rsidRPr="00232ED9">
        <w:rPr>
          <w:vertAlign w:val="superscript"/>
          <w:lang w:val="fr-FR"/>
        </w:rPr>
        <w:t>o</w:t>
      </w:r>
      <w:r w:rsidRPr="00232ED9">
        <w:rPr>
          <w:lang w:val="fr-FR"/>
        </w:rPr>
        <w:t xml:space="preserve"> 67992/01, 14 juin 2011, </w:t>
      </w:r>
      <w:r w:rsidRPr="00232ED9">
        <w:rPr>
          <w:i/>
          <w:lang w:val="fr-FR"/>
        </w:rPr>
        <w:t>Velocci c. Italie</w:t>
      </w:r>
      <w:r w:rsidRPr="00232ED9">
        <w:rPr>
          <w:lang w:val="fr-FR"/>
        </w:rPr>
        <w:t>, n</w:t>
      </w:r>
      <w:r w:rsidRPr="00232ED9">
        <w:rPr>
          <w:vertAlign w:val="superscript"/>
          <w:lang w:val="fr-FR"/>
        </w:rPr>
        <w:t>o </w:t>
      </w:r>
      <w:r w:rsidR="00232ED9" w:rsidRPr="00232ED9">
        <w:rPr>
          <w:lang w:val="fr-FR"/>
        </w:rPr>
        <w:t>717/03, 18 </w:t>
      </w:r>
      <w:r w:rsidRPr="00232ED9">
        <w:rPr>
          <w:lang w:val="fr-FR"/>
        </w:rPr>
        <w:t xml:space="preserve">mars 2008, et </w:t>
      </w:r>
      <w:r w:rsidRPr="00232ED9">
        <w:rPr>
          <w:i/>
          <w:lang w:val="fr-FR"/>
        </w:rPr>
        <w:t>Farina c. Italie</w:t>
      </w:r>
      <w:r w:rsidRPr="00232ED9">
        <w:rPr>
          <w:lang w:val="fr-FR"/>
        </w:rPr>
        <w:t>, n</w:t>
      </w:r>
      <w:r w:rsidRPr="00232ED9">
        <w:rPr>
          <w:vertAlign w:val="superscript"/>
          <w:lang w:val="fr-FR"/>
        </w:rPr>
        <w:t>o</w:t>
      </w:r>
      <w:r w:rsidRPr="00232ED9">
        <w:rPr>
          <w:lang w:val="fr-FR"/>
        </w:rPr>
        <w:t xml:space="preserve"> 75259/01, 17 mai 2011).</w:t>
      </w:r>
    </w:p>
    <w:p w:rsidR="005C05F1" w:rsidRPr="00232ED9" w:rsidRDefault="00710547" w:rsidP="00232ED9">
      <w:pPr>
        <w:pStyle w:val="ECHRHeading1"/>
        <w:rPr>
          <w:lang w:val="fr-FR"/>
        </w:rPr>
      </w:pPr>
      <w:r w:rsidRPr="00232ED9">
        <w:rPr>
          <w:lang w:val="fr-FR"/>
        </w:rPr>
        <w:lastRenderedPageBreak/>
        <w:t>I</w:t>
      </w:r>
      <w:r w:rsidR="00262052" w:rsidRPr="00232ED9">
        <w:rPr>
          <w:lang w:val="fr-FR"/>
        </w:rPr>
        <w:t>V</w:t>
      </w:r>
      <w:r w:rsidR="005C05F1" w:rsidRPr="00232ED9">
        <w:rPr>
          <w:lang w:val="fr-FR"/>
        </w:rPr>
        <w:t>.  SUR LES AUTRES VIOLATIONS ALLÉGUÉES</w:t>
      </w:r>
    </w:p>
    <w:p w:rsidR="000D0FB4" w:rsidRPr="00232ED9" w:rsidRDefault="0005014D"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47</w:t>
      </w:r>
      <w:r w:rsidRPr="00232ED9">
        <w:rPr>
          <w:lang w:val="fr-FR"/>
        </w:rPr>
        <w:fldChar w:fldCharType="end"/>
      </w:r>
      <w:r w:rsidRPr="00232ED9">
        <w:rPr>
          <w:lang w:val="fr-FR"/>
        </w:rPr>
        <w:t>.  </w:t>
      </w:r>
      <w:r w:rsidR="000D0FB4" w:rsidRPr="00232ED9">
        <w:rPr>
          <w:lang w:val="fr-FR"/>
        </w:rPr>
        <w:t>Les requérants invoquent également l</w:t>
      </w:r>
      <w:r w:rsidR="00232ED9" w:rsidRPr="00232ED9">
        <w:rPr>
          <w:lang w:val="fr-FR"/>
        </w:rPr>
        <w:t>’</w:t>
      </w:r>
      <w:r w:rsidR="000D0FB4" w:rsidRPr="00232ED9">
        <w:rPr>
          <w:lang w:val="fr-FR"/>
        </w:rPr>
        <w:t>article 17 de la Convention, sans toutefois l</w:t>
      </w:r>
      <w:r w:rsidR="00232ED9" w:rsidRPr="00232ED9">
        <w:rPr>
          <w:lang w:val="fr-FR"/>
        </w:rPr>
        <w:t>’</w:t>
      </w:r>
      <w:r w:rsidR="000D0FB4" w:rsidRPr="00232ED9">
        <w:rPr>
          <w:lang w:val="fr-FR"/>
        </w:rPr>
        <w:t>étayer.</w:t>
      </w:r>
    </w:p>
    <w:p w:rsidR="000D0FB4" w:rsidRPr="00232ED9" w:rsidRDefault="000D0FB4" w:rsidP="00232ED9">
      <w:pPr>
        <w:pStyle w:val="ECHRPara"/>
        <w:rPr>
          <w:lang w:val="fr-FR"/>
        </w:rPr>
      </w:pPr>
      <w:r w:rsidRPr="00232ED9">
        <w:rPr>
          <w:lang w:val="en-US"/>
        </w:rPr>
        <w:fldChar w:fldCharType="begin"/>
      </w:r>
      <w:r w:rsidRPr="00232ED9">
        <w:rPr>
          <w:lang w:val="fr-FR"/>
        </w:rPr>
        <w:instrText xml:space="preserve"> SEQ level0 \*arabic </w:instrText>
      </w:r>
      <w:r w:rsidRPr="00232ED9">
        <w:rPr>
          <w:lang w:val="en-US"/>
        </w:rPr>
        <w:fldChar w:fldCharType="separate"/>
      </w:r>
      <w:r w:rsidR="00232ED9" w:rsidRPr="00232ED9">
        <w:rPr>
          <w:noProof/>
          <w:lang w:val="fr-FR"/>
        </w:rPr>
        <w:t>48</w:t>
      </w:r>
      <w:r w:rsidRPr="00232ED9">
        <w:rPr>
          <w:lang w:val="fr-FR"/>
        </w:rPr>
        <w:fldChar w:fldCharType="end"/>
      </w:r>
      <w:r w:rsidRPr="00232ED9">
        <w:rPr>
          <w:lang w:val="fr-FR"/>
        </w:rPr>
        <w:t>.  La Cour estime par conséquent qu</w:t>
      </w:r>
      <w:r w:rsidR="00232ED9" w:rsidRPr="00232ED9">
        <w:rPr>
          <w:lang w:val="fr-FR"/>
        </w:rPr>
        <w:t>’</w:t>
      </w:r>
      <w:r w:rsidRPr="00232ED9">
        <w:rPr>
          <w:lang w:val="fr-FR"/>
        </w:rPr>
        <w:t>il doit être déclaré irrecevable en tant que manifestement mal fondé au sens de l</w:t>
      </w:r>
      <w:r w:rsidR="00232ED9" w:rsidRPr="00232ED9">
        <w:rPr>
          <w:lang w:val="fr-FR"/>
        </w:rPr>
        <w:t>’</w:t>
      </w:r>
      <w:r w:rsidRPr="00232ED9">
        <w:rPr>
          <w:lang w:val="fr-FR"/>
        </w:rPr>
        <w:t>article 35 §§ 3 et 4 de la Convention.</w:t>
      </w:r>
    </w:p>
    <w:p w:rsidR="00C96AC7" w:rsidRPr="00232ED9" w:rsidRDefault="00710547" w:rsidP="00232ED9">
      <w:pPr>
        <w:pStyle w:val="ECHRHeading1"/>
        <w:ind w:left="0" w:firstLine="0"/>
        <w:rPr>
          <w:lang w:val="fr-FR"/>
        </w:rPr>
      </w:pPr>
      <w:r w:rsidRPr="00232ED9">
        <w:rPr>
          <w:lang w:val="fr-FR"/>
        </w:rPr>
        <w:t>V</w:t>
      </w:r>
      <w:r w:rsidR="005C05F1" w:rsidRPr="00232ED9">
        <w:rPr>
          <w:lang w:val="fr-FR"/>
        </w:rPr>
        <w:t>.  SUR L</w:t>
      </w:r>
      <w:r w:rsidR="00232ED9" w:rsidRPr="00232ED9">
        <w:rPr>
          <w:lang w:val="fr-FR"/>
        </w:rPr>
        <w:t>’</w:t>
      </w:r>
      <w:r w:rsidR="005C05F1" w:rsidRPr="00232ED9">
        <w:rPr>
          <w:lang w:val="fr-FR"/>
        </w:rPr>
        <w:t>APPLICATION DE L</w:t>
      </w:r>
      <w:r w:rsidR="00232ED9" w:rsidRPr="00232ED9">
        <w:rPr>
          <w:lang w:val="fr-FR"/>
        </w:rPr>
        <w:t>’</w:t>
      </w:r>
      <w:r w:rsidR="005C05F1" w:rsidRPr="00232ED9">
        <w:rPr>
          <w:lang w:val="fr-FR"/>
        </w:rPr>
        <w:t>ARTICLE 41 DE LA CONVENTION</w:t>
      </w:r>
    </w:p>
    <w:p w:rsidR="005C05F1"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49</w:t>
      </w:r>
      <w:r w:rsidRPr="00232ED9">
        <w:fldChar w:fldCharType="end"/>
      </w:r>
      <w:r w:rsidRPr="00232ED9">
        <w:rPr>
          <w:lang w:val="fr-FR"/>
        </w:rPr>
        <w:t>.  Aux termes de l</w:t>
      </w:r>
      <w:r w:rsidR="00232ED9" w:rsidRPr="00232ED9">
        <w:rPr>
          <w:lang w:val="fr-FR"/>
        </w:rPr>
        <w:t>’</w:t>
      </w:r>
      <w:r w:rsidRPr="00232ED9">
        <w:rPr>
          <w:lang w:val="fr-FR"/>
        </w:rPr>
        <w:t>article 41 de la Convention,</w:t>
      </w:r>
    </w:p>
    <w:p w:rsidR="00C96AC7" w:rsidRPr="00232ED9" w:rsidRDefault="005C05F1" w:rsidP="00232ED9">
      <w:pPr>
        <w:pStyle w:val="ECHRParaQuote"/>
        <w:keepNext/>
        <w:keepLines/>
        <w:rPr>
          <w:lang w:val="fr-FR"/>
        </w:rPr>
      </w:pPr>
      <w:r w:rsidRPr="00232ED9">
        <w:rPr>
          <w:lang w:val="fr-FR"/>
        </w:rPr>
        <w:t>« Si la Cour déclare qu</w:t>
      </w:r>
      <w:r w:rsidR="00232ED9" w:rsidRPr="00232ED9">
        <w:rPr>
          <w:lang w:val="fr-FR"/>
        </w:rPr>
        <w:t>’</w:t>
      </w:r>
      <w:r w:rsidRPr="00232ED9">
        <w:rPr>
          <w:lang w:val="fr-FR"/>
        </w:rPr>
        <w:t>il y a eu violation de la Convention ou de ses Protocoles, et si le droit interne de la Haute Partie contractante ne permet d</w:t>
      </w:r>
      <w:r w:rsidR="00232ED9" w:rsidRPr="00232ED9">
        <w:rPr>
          <w:lang w:val="fr-FR"/>
        </w:rPr>
        <w:t>’</w:t>
      </w:r>
      <w:r w:rsidRPr="00232ED9">
        <w:rPr>
          <w:lang w:val="fr-FR"/>
        </w:rPr>
        <w:t>effacer qu</w:t>
      </w:r>
      <w:r w:rsidR="00232ED9" w:rsidRPr="00232ED9">
        <w:rPr>
          <w:lang w:val="fr-FR"/>
        </w:rPr>
        <w:t>’</w:t>
      </w:r>
      <w:r w:rsidRPr="00232ED9">
        <w:rPr>
          <w:lang w:val="fr-FR"/>
        </w:rPr>
        <w:t>imparfaitement les conséquences de cette violation, la Cour accorde à la partie lésée, s</w:t>
      </w:r>
      <w:r w:rsidR="00232ED9" w:rsidRPr="00232ED9">
        <w:rPr>
          <w:lang w:val="fr-FR"/>
        </w:rPr>
        <w:t>’</w:t>
      </w:r>
      <w:r w:rsidRPr="00232ED9">
        <w:rPr>
          <w:lang w:val="fr-FR"/>
        </w:rPr>
        <w:t>il y a lieu, une satisfaction équitable. »</w:t>
      </w:r>
    </w:p>
    <w:p w:rsidR="005C05F1" w:rsidRPr="00232ED9" w:rsidRDefault="005C05F1" w:rsidP="00232ED9">
      <w:pPr>
        <w:pStyle w:val="ECHRHeading2"/>
        <w:rPr>
          <w:lang w:val="fr-FR"/>
        </w:rPr>
      </w:pPr>
      <w:r w:rsidRPr="00232ED9">
        <w:rPr>
          <w:lang w:val="fr-FR"/>
        </w:rPr>
        <w:t>A.  Dommage matériel</w:t>
      </w:r>
    </w:p>
    <w:p w:rsidR="00C96AC7"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50</w:t>
      </w:r>
      <w:r w:rsidRPr="00232ED9">
        <w:rPr>
          <w:noProof/>
        </w:rPr>
        <w:fldChar w:fldCharType="end"/>
      </w:r>
      <w:r w:rsidRPr="00232ED9">
        <w:rPr>
          <w:lang w:val="fr-FR"/>
        </w:rPr>
        <w:t>.  Les requérants sollicitent une somme correspondant à la différence entre la valeur vénale du terrain et le montant du dédommagement accordé au niveau national, à réévaluer et à majorer des intérêts. Les requérants demandent, e</w:t>
      </w:r>
      <w:r w:rsidR="006B10BB" w:rsidRPr="00232ED9">
        <w:rPr>
          <w:lang w:val="fr-FR"/>
        </w:rPr>
        <w:t>n outre, le versement d</w:t>
      </w:r>
      <w:r w:rsidR="00232ED9" w:rsidRPr="00232ED9">
        <w:rPr>
          <w:lang w:val="fr-FR"/>
        </w:rPr>
        <w:t>’</w:t>
      </w:r>
      <w:r w:rsidR="006B10BB" w:rsidRPr="00232ED9">
        <w:rPr>
          <w:lang w:val="fr-FR"/>
        </w:rPr>
        <w:t>une somme</w:t>
      </w:r>
      <w:r w:rsidRPr="00232ED9">
        <w:rPr>
          <w:lang w:val="fr-FR"/>
        </w:rPr>
        <w:t xml:space="preserve"> de </w:t>
      </w:r>
      <w:r w:rsidR="00BB4641" w:rsidRPr="00232ED9">
        <w:rPr>
          <w:lang w:val="fr-FR"/>
        </w:rPr>
        <w:t>6 240 000</w:t>
      </w:r>
      <w:r w:rsidRPr="00232ED9">
        <w:rPr>
          <w:lang w:val="fr-FR"/>
        </w:rPr>
        <w:t xml:space="preserve"> EUR à titre de plus-value découlant de la construction de</w:t>
      </w:r>
      <w:r w:rsidR="002C093E" w:rsidRPr="00232ED9">
        <w:rPr>
          <w:lang w:val="fr-FR"/>
        </w:rPr>
        <w:t xml:space="preserve">s </w:t>
      </w:r>
      <w:r w:rsidRPr="00232ED9">
        <w:rPr>
          <w:lang w:val="fr-FR"/>
        </w:rPr>
        <w:t>ouvrage</w:t>
      </w:r>
      <w:r w:rsidR="002C093E" w:rsidRPr="00232ED9">
        <w:rPr>
          <w:lang w:val="fr-FR"/>
        </w:rPr>
        <w:t>s</w:t>
      </w:r>
      <w:r w:rsidRPr="00232ED9">
        <w:rPr>
          <w:lang w:val="fr-FR"/>
        </w:rPr>
        <w:t xml:space="preserve"> publi</w:t>
      </w:r>
      <w:r w:rsidR="002C093E" w:rsidRPr="00232ED9">
        <w:rPr>
          <w:lang w:val="fr-FR"/>
        </w:rPr>
        <w:t>ques</w:t>
      </w:r>
      <w:r w:rsidRPr="00232ED9">
        <w:rPr>
          <w:lang w:val="fr-FR"/>
        </w:rPr>
        <w:t>.</w:t>
      </w:r>
    </w:p>
    <w:p w:rsidR="005C05F1"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51</w:t>
      </w:r>
      <w:r w:rsidRPr="00232ED9">
        <w:fldChar w:fldCharType="end"/>
      </w:r>
      <w:r w:rsidRPr="00232ED9">
        <w:rPr>
          <w:lang w:val="fr-FR"/>
        </w:rPr>
        <w:t>.  Le Gouvernement s</w:t>
      </w:r>
      <w:r w:rsidR="00232ED9" w:rsidRPr="00232ED9">
        <w:rPr>
          <w:lang w:val="fr-FR"/>
        </w:rPr>
        <w:t>’</w:t>
      </w:r>
      <w:r w:rsidRPr="00232ED9">
        <w:rPr>
          <w:lang w:val="fr-FR"/>
        </w:rPr>
        <w:t>y oppose.</w:t>
      </w:r>
    </w:p>
    <w:bookmarkStart w:id="9" w:name="materiel_start"/>
    <w:p w:rsidR="00515FDC" w:rsidRPr="00232ED9" w:rsidRDefault="0072708E" w:rsidP="00232ED9">
      <w:pPr>
        <w:pStyle w:val="ECHRPara"/>
        <w:rPr>
          <w:szCs w:val="24"/>
          <w:lang w:val="fr-FR" w:eastAsia="en-GB"/>
        </w:rPr>
      </w:pPr>
      <w:r w:rsidRPr="00232ED9">
        <w:rPr>
          <w:szCs w:val="24"/>
          <w:lang w:val="fr-FR" w:eastAsia="en-GB"/>
        </w:rPr>
        <w:fldChar w:fldCharType="begin"/>
      </w:r>
      <w:r w:rsidRPr="00232ED9">
        <w:rPr>
          <w:szCs w:val="24"/>
          <w:lang w:val="fr-FR" w:eastAsia="en-GB"/>
        </w:rPr>
        <w:instrText xml:space="preserve"> SEQ level0 \*arabic </w:instrText>
      </w:r>
      <w:r w:rsidRPr="00232ED9">
        <w:rPr>
          <w:szCs w:val="24"/>
          <w:lang w:val="fr-FR" w:eastAsia="en-GB"/>
        </w:rPr>
        <w:fldChar w:fldCharType="separate"/>
      </w:r>
      <w:r w:rsidR="00232ED9" w:rsidRPr="00232ED9">
        <w:rPr>
          <w:noProof/>
          <w:szCs w:val="24"/>
          <w:lang w:val="fr-FR" w:eastAsia="en-GB"/>
        </w:rPr>
        <w:t>52</w:t>
      </w:r>
      <w:r w:rsidRPr="00232ED9">
        <w:rPr>
          <w:szCs w:val="24"/>
          <w:lang w:val="fr-FR" w:eastAsia="en-GB"/>
        </w:rPr>
        <w:fldChar w:fldCharType="end"/>
      </w:r>
      <w:bookmarkEnd w:id="9"/>
      <w:r w:rsidRPr="00232ED9">
        <w:rPr>
          <w:szCs w:val="24"/>
          <w:lang w:val="fr-FR" w:eastAsia="en-GB"/>
        </w:rPr>
        <w:t>.  </w:t>
      </w:r>
      <w:r w:rsidR="00515FDC" w:rsidRPr="00232ED9">
        <w:rPr>
          <w:szCs w:val="24"/>
          <w:lang w:val="fr-FR" w:eastAsia="en-GB"/>
        </w:rPr>
        <w:t>La Cour rappelle que dans l</w:t>
      </w:r>
      <w:r w:rsidR="00232ED9" w:rsidRPr="00232ED9">
        <w:rPr>
          <w:szCs w:val="24"/>
          <w:lang w:val="fr-FR" w:eastAsia="en-GB"/>
        </w:rPr>
        <w:t>’</w:t>
      </w:r>
      <w:r w:rsidR="00515FDC" w:rsidRPr="00232ED9">
        <w:rPr>
          <w:szCs w:val="24"/>
          <w:lang w:val="fr-FR" w:eastAsia="en-GB"/>
        </w:rPr>
        <w:t xml:space="preserve">affaire </w:t>
      </w:r>
      <w:r w:rsidR="00515FDC" w:rsidRPr="00232ED9">
        <w:rPr>
          <w:i/>
          <w:iCs/>
          <w:szCs w:val="24"/>
          <w:lang w:val="fr-FR" w:eastAsia="en-GB"/>
        </w:rPr>
        <w:t>Guiso-Gallisay c. Italie</w:t>
      </w:r>
      <w:r w:rsidR="00515FDC" w:rsidRPr="00232ED9">
        <w:rPr>
          <w:szCs w:val="24"/>
          <w:lang w:val="fr-FR" w:eastAsia="en-GB"/>
        </w:rPr>
        <w:t xml:space="preserve"> (satisfaction équitable) [GC], précité, la Grande Chambre a modifié la jurisprudence de la Cour concernant les critères d</w:t>
      </w:r>
      <w:r w:rsidR="00232ED9" w:rsidRPr="00232ED9">
        <w:rPr>
          <w:szCs w:val="24"/>
          <w:lang w:val="fr-FR" w:eastAsia="en-GB"/>
        </w:rPr>
        <w:t>’</w:t>
      </w:r>
      <w:r w:rsidR="00515FDC" w:rsidRPr="00232ED9">
        <w:rPr>
          <w:szCs w:val="24"/>
          <w:lang w:val="fr-FR" w:eastAsia="en-GB"/>
        </w:rPr>
        <w:t>indemnisation dans les affaires d</w:t>
      </w:r>
      <w:r w:rsidR="00232ED9" w:rsidRPr="00232ED9">
        <w:rPr>
          <w:szCs w:val="24"/>
          <w:lang w:val="fr-FR" w:eastAsia="en-GB"/>
        </w:rPr>
        <w:t>’</w:t>
      </w:r>
      <w:r w:rsidR="00515FDC" w:rsidRPr="00232ED9">
        <w:rPr>
          <w:szCs w:val="24"/>
          <w:lang w:val="fr-FR" w:eastAsia="en-GB"/>
        </w:rPr>
        <w:t>expropriation indirecte en établissant que l</w:t>
      </w:r>
      <w:r w:rsidR="00232ED9" w:rsidRPr="00232ED9">
        <w:rPr>
          <w:szCs w:val="24"/>
          <w:lang w:val="fr-FR" w:eastAsia="en-GB"/>
        </w:rPr>
        <w:t>’</w:t>
      </w:r>
      <w:r w:rsidR="00515FDC" w:rsidRPr="00232ED9">
        <w:rPr>
          <w:szCs w:val="24"/>
          <w:lang w:val="fr-FR" w:eastAsia="en-GB"/>
        </w:rPr>
        <w:t>indemnisation à octroyer doit correspondre à la valeur pleine et entière du terrain au moment de la perte de la propriété, telle qu</w:t>
      </w:r>
      <w:r w:rsidR="00232ED9" w:rsidRPr="00232ED9">
        <w:rPr>
          <w:szCs w:val="24"/>
          <w:lang w:val="fr-FR" w:eastAsia="en-GB"/>
        </w:rPr>
        <w:t>’</w:t>
      </w:r>
      <w:r w:rsidR="00515FDC" w:rsidRPr="00232ED9">
        <w:rPr>
          <w:szCs w:val="24"/>
          <w:lang w:val="fr-FR" w:eastAsia="en-GB"/>
        </w:rPr>
        <w:t>établie par l</w:t>
      </w:r>
      <w:r w:rsidR="00232ED9" w:rsidRPr="00232ED9">
        <w:rPr>
          <w:szCs w:val="24"/>
          <w:lang w:val="fr-FR" w:eastAsia="en-GB"/>
        </w:rPr>
        <w:t>’</w:t>
      </w:r>
      <w:r w:rsidR="00515FDC" w:rsidRPr="00232ED9">
        <w:rPr>
          <w:szCs w:val="24"/>
          <w:lang w:val="fr-FR" w:eastAsia="en-GB"/>
        </w:rPr>
        <w:t>expertise ordonnée par la juridiction compétente au cours de la procédure interne. Ensuite, une fois déduite la somme éventuellement octroyée au niveau national, ce montant doit être actualisé pour compenser les effets de l</w:t>
      </w:r>
      <w:r w:rsidR="00232ED9" w:rsidRPr="00232ED9">
        <w:rPr>
          <w:szCs w:val="24"/>
          <w:lang w:val="fr-FR" w:eastAsia="en-GB"/>
        </w:rPr>
        <w:t>’</w:t>
      </w:r>
      <w:r w:rsidR="00515FDC" w:rsidRPr="00232ED9">
        <w:rPr>
          <w:szCs w:val="24"/>
          <w:lang w:val="fr-FR" w:eastAsia="en-GB"/>
        </w:rPr>
        <w:t>inflation et assorti d</w:t>
      </w:r>
      <w:r w:rsidR="00232ED9" w:rsidRPr="00232ED9">
        <w:rPr>
          <w:szCs w:val="24"/>
          <w:lang w:val="fr-FR" w:eastAsia="en-GB"/>
        </w:rPr>
        <w:t>’</w:t>
      </w:r>
      <w:r w:rsidR="00515FDC" w:rsidRPr="00232ED9">
        <w:rPr>
          <w:szCs w:val="24"/>
          <w:lang w:val="fr-FR" w:eastAsia="en-GB"/>
        </w:rPr>
        <w:t>intérêts susceptibles de compenser, au moins en partie, le long laps de temps qui s</w:t>
      </w:r>
      <w:r w:rsidR="00232ED9" w:rsidRPr="00232ED9">
        <w:rPr>
          <w:szCs w:val="24"/>
          <w:lang w:val="fr-FR" w:eastAsia="en-GB"/>
        </w:rPr>
        <w:t>’</w:t>
      </w:r>
      <w:r w:rsidR="00515FDC" w:rsidRPr="00232ED9">
        <w:rPr>
          <w:szCs w:val="24"/>
          <w:lang w:val="fr-FR" w:eastAsia="en-GB"/>
        </w:rPr>
        <w:t>est écoulé depuis la dépossession des terrains. Enfin, il y a lieu de d</w:t>
      </w:r>
      <w:r w:rsidR="00232ED9" w:rsidRPr="00232ED9">
        <w:rPr>
          <w:szCs w:val="24"/>
          <w:lang w:val="fr-FR" w:eastAsia="en-GB"/>
        </w:rPr>
        <w:t>’</w:t>
      </w:r>
      <w:r w:rsidR="00515FDC" w:rsidRPr="00232ED9">
        <w:rPr>
          <w:szCs w:val="24"/>
          <w:lang w:val="fr-FR" w:eastAsia="en-GB"/>
        </w:rPr>
        <w:t>évaluer la perte de chances éventuellement subie par les intéressés.</w:t>
      </w:r>
    </w:p>
    <w:p w:rsidR="00DC3C0F"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53</w:t>
      </w:r>
      <w:r w:rsidRPr="00232ED9">
        <w:rPr>
          <w:noProof/>
        </w:rPr>
        <w:fldChar w:fldCharType="end"/>
      </w:r>
      <w:r w:rsidRPr="00232ED9">
        <w:rPr>
          <w:lang w:val="fr-FR"/>
        </w:rPr>
        <w:t>.  En l</w:t>
      </w:r>
      <w:r w:rsidR="00232ED9" w:rsidRPr="00232ED9">
        <w:rPr>
          <w:lang w:val="fr-FR"/>
        </w:rPr>
        <w:t>’</w:t>
      </w:r>
      <w:r w:rsidRPr="00232ED9">
        <w:rPr>
          <w:lang w:val="fr-FR"/>
        </w:rPr>
        <w:t xml:space="preserve">espèce, </w:t>
      </w:r>
      <w:r w:rsidR="003B049C" w:rsidRPr="00232ED9">
        <w:rPr>
          <w:lang w:val="fr-FR"/>
        </w:rPr>
        <w:t>d</w:t>
      </w:r>
      <w:r w:rsidR="00232ED9" w:rsidRPr="00232ED9">
        <w:rPr>
          <w:lang w:val="fr-FR"/>
        </w:rPr>
        <w:t>’</w:t>
      </w:r>
      <w:r w:rsidR="003B049C" w:rsidRPr="00232ED9">
        <w:rPr>
          <w:lang w:val="fr-FR"/>
        </w:rPr>
        <w:t xml:space="preserve">après les juridictions nationales, </w:t>
      </w:r>
      <w:r w:rsidRPr="00232ED9">
        <w:rPr>
          <w:lang w:val="fr-FR"/>
        </w:rPr>
        <w:t xml:space="preserve">les requérants ont </w:t>
      </w:r>
      <w:r w:rsidR="00756130" w:rsidRPr="00232ED9">
        <w:rPr>
          <w:lang w:val="fr-FR"/>
        </w:rPr>
        <w:t>perdu la propriété des deux terrains le 14 janvier 1993 et le 20 septembre</w:t>
      </w:r>
      <w:r w:rsidR="00232ED9" w:rsidRPr="00232ED9">
        <w:rPr>
          <w:lang w:val="fr-FR"/>
        </w:rPr>
        <w:t xml:space="preserve"> </w:t>
      </w:r>
      <w:r w:rsidR="00756130" w:rsidRPr="00232ED9">
        <w:rPr>
          <w:lang w:val="fr-FR"/>
        </w:rPr>
        <w:t>1994 respectivement</w:t>
      </w:r>
      <w:r w:rsidR="009F24E4" w:rsidRPr="00232ED9">
        <w:rPr>
          <w:lang w:val="fr-FR"/>
        </w:rPr>
        <w:t xml:space="preserve"> (voir paragraphe </w:t>
      </w:r>
      <w:r w:rsidR="00BE7457" w:rsidRPr="00232ED9">
        <w:rPr>
          <w:lang w:val="fr-FR"/>
        </w:rPr>
        <w:fldChar w:fldCharType="begin"/>
      </w:r>
      <w:r w:rsidR="00BE7457" w:rsidRPr="00232ED9">
        <w:rPr>
          <w:lang w:val="fr-FR"/>
        </w:rPr>
        <w:instrText xml:space="preserve"> REF Cour_appel_palerme \h </w:instrText>
      </w:r>
      <w:r w:rsidR="00BE7457" w:rsidRPr="00232ED9">
        <w:rPr>
          <w:lang w:val="fr-FR"/>
        </w:rPr>
      </w:r>
      <w:r w:rsidR="00BE7457" w:rsidRPr="00232ED9">
        <w:rPr>
          <w:lang w:val="fr-FR"/>
        </w:rPr>
        <w:fldChar w:fldCharType="separate"/>
      </w:r>
      <w:r w:rsidR="00232ED9" w:rsidRPr="00232ED9">
        <w:rPr>
          <w:noProof/>
          <w:lang w:val="fr-FR"/>
        </w:rPr>
        <w:t>12</w:t>
      </w:r>
      <w:r w:rsidR="00BE7457" w:rsidRPr="00232ED9">
        <w:rPr>
          <w:lang w:val="fr-FR"/>
        </w:rPr>
        <w:fldChar w:fldCharType="end"/>
      </w:r>
      <w:r w:rsidR="00BE7457" w:rsidRPr="00232ED9">
        <w:rPr>
          <w:lang w:val="fr-FR"/>
        </w:rPr>
        <w:t xml:space="preserve"> ci-dessus</w:t>
      </w:r>
      <w:r w:rsidR="009F24E4" w:rsidRPr="00232ED9">
        <w:rPr>
          <w:lang w:val="fr-FR"/>
        </w:rPr>
        <w:t>)</w:t>
      </w:r>
      <w:r w:rsidRPr="00232ED9">
        <w:rPr>
          <w:lang w:val="fr-FR"/>
        </w:rPr>
        <w:t xml:space="preserve">. Il ressort </w:t>
      </w:r>
      <w:r w:rsidR="00390E3B" w:rsidRPr="00232ED9">
        <w:rPr>
          <w:lang w:val="fr-FR"/>
        </w:rPr>
        <w:t>de l</w:t>
      </w:r>
      <w:r w:rsidR="00232ED9" w:rsidRPr="00232ED9">
        <w:rPr>
          <w:lang w:val="fr-FR"/>
        </w:rPr>
        <w:t>’</w:t>
      </w:r>
      <w:r w:rsidR="00390E3B" w:rsidRPr="00232ED9">
        <w:rPr>
          <w:lang w:val="fr-FR"/>
        </w:rPr>
        <w:t>expertise ordonnée par l</w:t>
      </w:r>
      <w:r w:rsidRPr="00232ED9">
        <w:rPr>
          <w:lang w:val="fr-FR"/>
        </w:rPr>
        <w:t>a Cour d</w:t>
      </w:r>
      <w:r w:rsidR="00232ED9" w:rsidRPr="00232ED9">
        <w:rPr>
          <w:lang w:val="fr-FR"/>
        </w:rPr>
        <w:t>’</w:t>
      </w:r>
      <w:r w:rsidRPr="00232ED9">
        <w:rPr>
          <w:lang w:val="fr-FR"/>
        </w:rPr>
        <w:t>appel de Palerme</w:t>
      </w:r>
      <w:r w:rsidR="00B25657" w:rsidRPr="00232ED9">
        <w:rPr>
          <w:lang w:val="fr-FR"/>
        </w:rPr>
        <w:t xml:space="preserve"> que la valeur des</w:t>
      </w:r>
      <w:r w:rsidRPr="00232ED9">
        <w:rPr>
          <w:lang w:val="fr-FR"/>
        </w:rPr>
        <w:t xml:space="preserve"> terrain</w:t>
      </w:r>
      <w:r w:rsidR="00D97555" w:rsidRPr="00232ED9">
        <w:rPr>
          <w:lang w:val="fr-FR"/>
        </w:rPr>
        <w:t>s</w:t>
      </w:r>
      <w:r w:rsidRPr="00232ED9">
        <w:rPr>
          <w:lang w:val="fr-FR"/>
        </w:rPr>
        <w:t xml:space="preserve"> à </w:t>
      </w:r>
      <w:r w:rsidR="00DE727E" w:rsidRPr="00232ED9">
        <w:rPr>
          <w:lang w:val="fr-FR"/>
        </w:rPr>
        <w:t>ces dates</w:t>
      </w:r>
      <w:r w:rsidRPr="00232ED9">
        <w:rPr>
          <w:lang w:val="fr-FR"/>
        </w:rPr>
        <w:t xml:space="preserve"> </w:t>
      </w:r>
      <w:r w:rsidR="00AB344D" w:rsidRPr="00232ED9">
        <w:rPr>
          <w:lang w:val="fr-FR"/>
        </w:rPr>
        <w:t>était de 1 043 158 716 ITL (539 158 EUR) pour le premier te</w:t>
      </w:r>
      <w:r w:rsidR="00232ED9" w:rsidRPr="00232ED9">
        <w:rPr>
          <w:lang w:val="fr-FR"/>
        </w:rPr>
        <w:t>rrain et de 142 930 976 ITL (73 </w:t>
      </w:r>
      <w:r w:rsidR="00AB344D" w:rsidRPr="00232ED9">
        <w:rPr>
          <w:lang w:val="fr-FR"/>
        </w:rPr>
        <w:t xml:space="preserve">817 EUR) pour le second </w:t>
      </w:r>
      <w:r w:rsidR="00232ED9" w:rsidRPr="00232ED9">
        <w:rPr>
          <w:lang w:val="fr-FR"/>
        </w:rPr>
        <w:t xml:space="preserve">(voir </w:t>
      </w:r>
      <w:r w:rsidRPr="00232ED9">
        <w:rPr>
          <w:lang w:val="fr-FR"/>
        </w:rPr>
        <w:t>paragraphe</w:t>
      </w:r>
      <w:r w:rsidR="005B34E8" w:rsidRPr="00232ED9">
        <w:rPr>
          <w:lang w:val="fr-FR"/>
        </w:rPr>
        <w:t xml:space="preserve"> </w:t>
      </w:r>
      <w:r w:rsidR="005B34E8" w:rsidRPr="00232ED9">
        <w:rPr>
          <w:lang w:val="fr-FR"/>
        </w:rPr>
        <w:fldChar w:fldCharType="begin"/>
      </w:r>
      <w:r w:rsidR="005B34E8" w:rsidRPr="00232ED9">
        <w:rPr>
          <w:lang w:val="fr-FR"/>
        </w:rPr>
        <w:instrText xml:space="preserve"> REF Expertise \h </w:instrText>
      </w:r>
      <w:r w:rsidR="005B34E8" w:rsidRPr="00232ED9">
        <w:rPr>
          <w:lang w:val="fr-FR"/>
        </w:rPr>
      </w:r>
      <w:r w:rsidR="005B34E8" w:rsidRPr="00232ED9">
        <w:rPr>
          <w:lang w:val="fr-FR"/>
        </w:rPr>
        <w:fldChar w:fldCharType="separate"/>
      </w:r>
      <w:r w:rsidR="00232ED9" w:rsidRPr="00232ED9">
        <w:rPr>
          <w:noProof/>
          <w:lang w:val="fr-FR"/>
        </w:rPr>
        <w:t>11</w:t>
      </w:r>
      <w:r w:rsidR="005B34E8" w:rsidRPr="00232ED9">
        <w:rPr>
          <w:lang w:val="fr-FR"/>
        </w:rPr>
        <w:fldChar w:fldCharType="end"/>
      </w:r>
      <w:r w:rsidR="00BE7457" w:rsidRPr="00232ED9">
        <w:rPr>
          <w:lang w:val="fr-FR"/>
        </w:rPr>
        <w:t xml:space="preserve"> </w:t>
      </w:r>
      <w:r w:rsidR="00232ED9" w:rsidRPr="00232ED9">
        <w:rPr>
          <w:lang w:val="fr-FR"/>
        </w:rPr>
        <w:t>ci</w:t>
      </w:r>
      <w:r w:rsidR="00232ED9" w:rsidRPr="00232ED9">
        <w:rPr>
          <w:lang w:val="fr-FR"/>
        </w:rPr>
        <w:noBreakHyphen/>
      </w:r>
      <w:r w:rsidRPr="00232ED9">
        <w:rPr>
          <w:lang w:val="fr-FR"/>
        </w:rPr>
        <w:t>dessus).</w:t>
      </w:r>
    </w:p>
    <w:bookmarkStart w:id="10" w:name="materiel_end"/>
    <w:p w:rsidR="005C05F1" w:rsidRPr="00232ED9" w:rsidRDefault="005C05F1" w:rsidP="00232ED9">
      <w:pPr>
        <w:pStyle w:val="ECHRPara"/>
        <w:rPr>
          <w:lang w:val="fr-FR"/>
        </w:rPr>
      </w:pPr>
      <w:r w:rsidRPr="00232ED9">
        <w:lastRenderedPageBreak/>
        <w:fldChar w:fldCharType="begin"/>
      </w:r>
      <w:r w:rsidRPr="00232ED9">
        <w:rPr>
          <w:lang w:val="fr-FR"/>
        </w:rPr>
        <w:instrText xml:space="preserve"> SEQ level0 \*arabic </w:instrText>
      </w:r>
      <w:r w:rsidRPr="00232ED9">
        <w:fldChar w:fldCharType="separate"/>
      </w:r>
      <w:r w:rsidR="00232ED9" w:rsidRPr="00232ED9">
        <w:rPr>
          <w:noProof/>
          <w:lang w:val="fr-FR"/>
        </w:rPr>
        <w:t>54</w:t>
      </w:r>
      <w:r w:rsidRPr="00232ED9">
        <w:rPr>
          <w:noProof/>
        </w:rPr>
        <w:fldChar w:fldCharType="end"/>
      </w:r>
      <w:bookmarkEnd w:id="10"/>
      <w:r w:rsidRPr="00232ED9">
        <w:rPr>
          <w:lang w:val="fr-FR"/>
        </w:rPr>
        <w:t>.  Compte tenu de ces éléments, la Cour estime raisonnable d</w:t>
      </w:r>
      <w:r w:rsidR="00232ED9" w:rsidRPr="00232ED9">
        <w:rPr>
          <w:lang w:val="fr-FR"/>
        </w:rPr>
        <w:t>’</w:t>
      </w:r>
      <w:r w:rsidRPr="00232ED9">
        <w:rPr>
          <w:lang w:val="fr-FR"/>
        </w:rPr>
        <w:t xml:space="preserve">accorder aux requérants </w:t>
      </w:r>
      <w:r w:rsidR="009A6459" w:rsidRPr="00232ED9">
        <w:rPr>
          <w:lang w:val="fr-FR" w:eastAsia="en-GB"/>
        </w:rPr>
        <w:t>7</w:t>
      </w:r>
      <w:r w:rsidR="00B14D91" w:rsidRPr="00232ED9">
        <w:rPr>
          <w:lang w:val="fr-FR" w:eastAsia="en-GB"/>
        </w:rPr>
        <w:t>5</w:t>
      </w:r>
      <w:r w:rsidR="00661E02" w:rsidRPr="00232ED9">
        <w:rPr>
          <w:lang w:val="fr-FR" w:eastAsia="en-GB"/>
        </w:rPr>
        <w:t>2</w:t>
      </w:r>
      <w:r w:rsidR="009A6459" w:rsidRPr="00232ED9">
        <w:rPr>
          <w:lang w:val="fr-FR" w:eastAsia="en-GB"/>
        </w:rPr>
        <w:t xml:space="preserve"> </w:t>
      </w:r>
      <w:r w:rsidR="000236F8" w:rsidRPr="00232ED9">
        <w:rPr>
          <w:lang w:val="fr-FR" w:eastAsia="en-GB"/>
        </w:rPr>
        <w:t>0</w:t>
      </w:r>
      <w:r w:rsidR="009A6459" w:rsidRPr="00232ED9">
        <w:rPr>
          <w:lang w:val="fr-FR" w:eastAsia="en-GB"/>
        </w:rPr>
        <w:t>00</w:t>
      </w:r>
      <w:r w:rsidRPr="00232ED9">
        <w:rPr>
          <w:lang w:val="fr-FR" w:eastAsia="en-GB"/>
        </w:rPr>
        <w:t xml:space="preserve"> </w:t>
      </w:r>
      <w:r w:rsidRPr="00232ED9">
        <w:rPr>
          <w:lang w:val="fr-FR"/>
        </w:rPr>
        <w:t>EUR</w:t>
      </w:r>
      <w:r w:rsidR="00547CAF" w:rsidRPr="00232ED9">
        <w:rPr>
          <w:lang w:val="fr-FR"/>
        </w:rPr>
        <w:t>, conjointement,</w:t>
      </w:r>
      <w:r w:rsidRPr="00232ED9">
        <w:rPr>
          <w:lang w:val="fr-FR"/>
        </w:rPr>
        <w:t xml:space="preserve"> plus tout montant pouvant être dû à titre d</w:t>
      </w:r>
      <w:r w:rsidR="00232ED9" w:rsidRPr="00232ED9">
        <w:rPr>
          <w:lang w:val="fr-FR"/>
        </w:rPr>
        <w:t>’</w:t>
      </w:r>
      <w:r w:rsidRPr="00232ED9">
        <w:rPr>
          <w:lang w:val="fr-FR"/>
        </w:rPr>
        <w:t>impôt sur cette somme.</w:t>
      </w:r>
    </w:p>
    <w:bookmarkStart w:id="11" w:name="perte_chance"/>
    <w:p w:rsidR="00DC3C0F" w:rsidRPr="00232ED9" w:rsidRDefault="004A0275" w:rsidP="00232ED9">
      <w:pPr>
        <w:pStyle w:val="ECHRPara"/>
        <w:rPr>
          <w:lang w:val="fr-FR"/>
        </w:rPr>
      </w:pPr>
      <w:r w:rsidRPr="00232ED9">
        <w:rPr>
          <w:lang w:val="fr-FR"/>
        </w:rPr>
        <w:fldChar w:fldCharType="begin"/>
      </w:r>
      <w:r w:rsidRPr="00232ED9">
        <w:rPr>
          <w:lang w:val="fr-FR"/>
        </w:rPr>
        <w:instrText xml:space="preserve"> SEQ level0 \*arabic </w:instrText>
      </w:r>
      <w:r w:rsidRPr="00232ED9">
        <w:rPr>
          <w:lang w:val="fr-FR"/>
        </w:rPr>
        <w:fldChar w:fldCharType="separate"/>
      </w:r>
      <w:r w:rsidR="00232ED9" w:rsidRPr="00232ED9">
        <w:rPr>
          <w:noProof/>
          <w:lang w:val="fr-FR"/>
        </w:rPr>
        <w:t>55</w:t>
      </w:r>
      <w:r w:rsidRPr="00232ED9">
        <w:rPr>
          <w:lang w:val="fr-FR"/>
        </w:rPr>
        <w:fldChar w:fldCharType="end"/>
      </w:r>
      <w:bookmarkEnd w:id="11"/>
      <w:r w:rsidRPr="00232ED9">
        <w:rPr>
          <w:lang w:val="fr-FR"/>
        </w:rPr>
        <w:t>.  Quant à la perte de chance</w:t>
      </w:r>
      <w:r w:rsidR="00F01F31" w:rsidRPr="00232ED9">
        <w:rPr>
          <w:lang w:val="fr-FR"/>
        </w:rPr>
        <w:t>s</w:t>
      </w:r>
      <w:r w:rsidRPr="00232ED9">
        <w:rPr>
          <w:lang w:val="fr-FR"/>
        </w:rPr>
        <w:t xml:space="preserve"> subie à la suite de </w:t>
      </w:r>
      <w:r w:rsidR="005E6ED3" w:rsidRPr="00232ED9">
        <w:rPr>
          <w:lang w:val="fr-FR"/>
        </w:rPr>
        <w:t>la perte de propriété</w:t>
      </w:r>
      <w:r w:rsidRPr="00232ED9">
        <w:rPr>
          <w:lang w:val="fr-FR"/>
        </w:rPr>
        <w:t>, la Cour juge qu</w:t>
      </w:r>
      <w:r w:rsidR="00232ED9" w:rsidRPr="00232ED9">
        <w:rPr>
          <w:lang w:val="fr-FR"/>
        </w:rPr>
        <w:t>’</w:t>
      </w:r>
      <w:r w:rsidRPr="00232ED9">
        <w:rPr>
          <w:lang w:val="fr-FR"/>
        </w:rPr>
        <w:t>il y a lieu de prendre en considération le préjudice d</w:t>
      </w:r>
      <w:r w:rsidR="00BA0DBF" w:rsidRPr="00232ED9">
        <w:rPr>
          <w:lang w:val="fr-FR"/>
        </w:rPr>
        <w:t>écoulant de l</w:t>
      </w:r>
      <w:r w:rsidR="00232ED9" w:rsidRPr="00232ED9">
        <w:rPr>
          <w:lang w:val="fr-FR"/>
        </w:rPr>
        <w:t>’</w:t>
      </w:r>
      <w:r w:rsidR="00BA0DBF" w:rsidRPr="00232ED9">
        <w:rPr>
          <w:lang w:val="fr-FR"/>
        </w:rPr>
        <w:t>indisponibilité des</w:t>
      </w:r>
      <w:r w:rsidRPr="00232ED9">
        <w:rPr>
          <w:lang w:val="fr-FR"/>
        </w:rPr>
        <w:t xml:space="preserve"> terrain</w:t>
      </w:r>
      <w:r w:rsidR="00BA0DBF" w:rsidRPr="00232ED9">
        <w:rPr>
          <w:lang w:val="fr-FR"/>
        </w:rPr>
        <w:t>s</w:t>
      </w:r>
      <w:r w:rsidRPr="00232ED9">
        <w:rPr>
          <w:lang w:val="fr-FR"/>
        </w:rPr>
        <w:t xml:space="preserve"> pendant la période allant du début de l</w:t>
      </w:r>
      <w:r w:rsidR="00232ED9" w:rsidRPr="00232ED9">
        <w:rPr>
          <w:lang w:val="fr-FR"/>
        </w:rPr>
        <w:t>’</w:t>
      </w:r>
      <w:r w:rsidRPr="00232ED9">
        <w:rPr>
          <w:lang w:val="fr-FR"/>
        </w:rPr>
        <w:t>occupation légitime (</w:t>
      </w:r>
      <w:r w:rsidR="00F67609" w:rsidRPr="00232ED9">
        <w:rPr>
          <w:lang w:val="fr-FR"/>
        </w:rPr>
        <w:t>16 février 1983 et 20 septembre 1984</w:t>
      </w:r>
      <w:r w:rsidRPr="00232ED9">
        <w:rPr>
          <w:lang w:val="fr-FR"/>
        </w:rPr>
        <w:t>) jusqu</w:t>
      </w:r>
      <w:r w:rsidR="00232ED9" w:rsidRPr="00232ED9">
        <w:rPr>
          <w:lang w:val="fr-FR"/>
        </w:rPr>
        <w:t>’</w:t>
      </w:r>
      <w:r w:rsidRPr="00232ED9">
        <w:rPr>
          <w:lang w:val="fr-FR"/>
        </w:rPr>
        <w:t>au moment de la perte de propriété (</w:t>
      </w:r>
      <w:r w:rsidR="004B72A6" w:rsidRPr="00232ED9">
        <w:rPr>
          <w:lang w:val="fr-FR"/>
        </w:rPr>
        <w:t>14 janvier 1993 et 20 septembre 1994</w:t>
      </w:r>
      <w:r w:rsidR="00BA0DBF" w:rsidRPr="00232ED9">
        <w:rPr>
          <w:lang w:val="fr-FR"/>
        </w:rPr>
        <w:t>)</w:t>
      </w:r>
      <w:r w:rsidR="00D944CA" w:rsidRPr="00232ED9">
        <w:rPr>
          <w:lang w:val="fr-FR"/>
        </w:rPr>
        <w:t>.</w:t>
      </w:r>
      <w:r w:rsidRPr="00232ED9">
        <w:rPr>
          <w:lang w:val="fr-FR"/>
        </w:rPr>
        <w:t xml:space="preserve"> Du montant ainsi calculé sera déduit la somme</w:t>
      </w:r>
      <w:r w:rsidR="00A50CF4" w:rsidRPr="00232ED9">
        <w:rPr>
          <w:lang w:val="fr-FR"/>
        </w:rPr>
        <w:t xml:space="preserve"> éventuellement</w:t>
      </w:r>
      <w:r w:rsidRPr="00232ED9">
        <w:rPr>
          <w:lang w:val="fr-FR"/>
        </w:rPr>
        <w:t xml:space="preserve"> déjà obtenue par les requérants au</w:t>
      </w:r>
      <w:r w:rsidR="00E94785" w:rsidRPr="00232ED9">
        <w:rPr>
          <w:lang w:val="fr-FR"/>
        </w:rPr>
        <w:t xml:space="preserve"> </w:t>
      </w:r>
      <w:r w:rsidRPr="00232ED9">
        <w:rPr>
          <w:lang w:val="fr-FR"/>
        </w:rPr>
        <w:t>niveau interne à titre d</w:t>
      </w:r>
      <w:r w:rsidR="00232ED9" w:rsidRPr="00232ED9">
        <w:rPr>
          <w:lang w:val="fr-FR"/>
        </w:rPr>
        <w:t>’</w:t>
      </w:r>
      <w:r w:rsidRPr="00232ED9">
        <w:rPr>
          <w:lang w:val="fr-FR"/>
        </w:rPr>
        <w:t>indemnité d</w:t>
      </w:r>
      <w:r w:rsidR="00232ED9" w:rsidRPr="00232ED9">
        <w:rPr>
          <w:lang w:val="fr-FR"/>
        </w:rPr>
        <w:t>’</w:t>
      </w:r>
      <w:r w:rsidRPr="00232ED9">
        <w:rPr>
          <w:lang w:val="fr-FR"/>
        </w:rPr>
        <w:t>occupation. La Cour estime raisonnable d</w:t>
      </w:r>
      <w:r w:rsidR="00232ED9" w:rsidRPr="00232ED9">
        <w:rPr>
          <w:lang w:val="fr-FR"/>
        </w:rPr>
        <w:t>’</w:t>
      </w:r>
      <w:r w:rsidRPr="00232ED9">
        <w:rPr>
          <w:lang w:val="fr-FR"/>
        </w:rPr>
        <w:t xml:space="preserve">accorder aux requérants, conjointement, </w:t>
      </w:r>
      <w:r w:rsidR="00232ED9" w:rsidRPr="00232ED9">
        <w:rPr>
          <w:lang w:val="fr-FR"/>
        </w:rPr>
        <w:t>38 </w:t>
      </w:r>
      <w:r w:rsidR="00CC612F" w:rsidRPr="00232ED9">
        <w:rPr>
          <w:lang w:val="fr-FR"/>
        </w:rPr>
        <w:t>700</w:t>
      </w:r>
      <w:r w:rsidR="00CC612F" w:rsidRPr="00232ED9">
        <w:rPr>
          <w:b/>
          <w:lang w:val="fr-FR"/>
        </w:rPr>
        <w:t xml:space="preserve"> </w:t>
      </w:r>
      <w:r w:rsidRPr="00232ED9">
        <w:rPr>
          <w:lang w:val="fr-FR"/>
        </w:rPr>
        <w:t>EUR</w:t>
      </w:r>
      <w:r w:rsidR="00F01F31" w:rsidRPr="00232ED9">
        <w:rPr>
          <w:lang w:val="fr-FR"/>
        </w:rPr>
        <w:t xml:space="preserve"> pour la perte de chances</w:t>
      </w:r>
      <w:r w:rsidRPr="00232ED9">
        <w:rPr>
          <w:lang w:val="fr-FR"/>
        </w:rPr>
        <w:t>.</w:t>
      </w:r>
    </w:p>
    <w:p w:rsidR="005C05F1" w:rsidRPr="00232ED9" w:rsidRDefault="005C05F1" w:rsidP="00232ED9">
      <w:pPr>
        <w:pStyle w:val="ECHRHeading2"/>
        <w:rPr>
          <w:lang w:val="fr-FR"/>
        </w:rPr>
      </w:pPr>
      <w:r w:rsidRPr="00232ED9">
        <w:rPr>
          <w:lang w:val="fr-FR"/>
        </w:rPr>
        <w:t>B.  Dommage moral</w:t>
      </w:r>
    </w:p>
    <w:p w:rsidR="005C05F1"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56</w:t>
      </w:r>
      <w:r w:rsidRPr="00232ED9">
        <w:rPr>
          <w:noProof/>
        </w:rPr>
        <w:fldChar w:fldCharType="end"/>
      </w:r>
      <w:r w:rsidR="007A3871" w:rsidRPr="00232ED9">
        <w:rPr>
          <w:lang w:val="fr-FR"/>
        </w:rPr>
        <w:t>.  Les</w:t>
      </w:r>
      <w:r w:rsidRPr="00232ED9">
        <w:rPr>
          <w:lang w:val="fr-FR"/>
        </w:rPr>
        <w:t xml:space="preserve"> requérants demandent 100 000 EUR chacun à titre de préjudice moral.</w:t>
      </w:r>
    </w:p>
    <w:p w:rsidR="005C05F1"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57</w:t>
      </w:r>
      <w:r w:rsidRPr="00232ED9">
        <w:rPr>
          <w:noProof/>
        </w:rPr>
        <w:fldChar w:fldCharType="end"/>
      </w:r>
      <w:r w:rsidRPr="00232ED9">
        <w:rPr>
          <w:lang w:val="fr-FR"/>
        </w:rPr>
        <w:t>.  Le Gouvernement s</w:t>
      </w:r>
      <w:r w:rsidR="00232ED9" w:rsidRPr="00232ED9">
        <w:rPr>
          <w:lang w:val="fr-FR"/>
        </w:rPr>
        <w:t>’</w:t>
      </w:r>
      <w:r w:rsidRPr="00232ED9">
        <w:rPr>
          <w:lang w:val="fr-FR"/>
        </w:rPr>
        <w:t>y oppose.</w:t>
      </w:r>
    </w:p>
    <w:p w:rsidR="005C05F1"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58</w:t>
      </w:r>
      <w:r w:rsidRPr="00232ED9">
        <w:rPr>
          <w:noProof/>
        </w:rPr>
        <w:fldChar w:fldCharType="end"/>
      </w:r>
      <w:r w:rsidRPr="00232ED9">
        <w:rPr>
          <w:lang w:val="fr-FR"/>
        </w:rPr>
        <w:t>.  La Cour estime que le sentiment d</w:t>
      </w:r>
      <w:r w:rsidR="00232ED9" w:rsidRPr="00232ED9">
        <w:rPr>
          <w:lang w:val="fr-FR"/>
        </w:rPr>
        <w:t>’</w:t>
      </w:r>
      <w:r w:rsidRPr="00232ED9">
        <w:rPr>
          <w:lang w:val="fr-FR"/>
        </w:rPr>
        <w:t>impuissance et de frustration face à la dépossession illégale de leur</w:t>
      </w:r>
      <w:r w:rsidR="00315EE5" w:rsidRPr="00232ED9">
        <w:rPr>
          <w:lang w:val="fr-FR"/>
        </w:rPr>
        <w:t>s</w:t>
      </w:r>
      <w:r w:rsidRPr="00232ED9">
        <w:rPr>
          <w:lang w:val="fr-FR"/>
        </w:rPr>
        <w:t xml:space="preserve"> bien</w:t>
      </w:r>
      <w:r w:rsidR="00315EE5" w:rsidRPr="00232ED9">
        <w:rPr>
          <w:lang w:val="fr-FR"/>
        </w:rPr>
        <w:t>s</w:t>
      </w:r>
      <w:r w:rsidRPr="00232ED9">
        <w:rPr>
          <w:lang w:val="fr-FR"/>
        </w:rPr>
        <w:t xml:space="preserve"> a causé aux requérants un préjudice moral qu</w:t>
      </w:r>
      <w:r w:rsidR="00232ED9" w:rsidRPr="00232ED9">
        <w:rPr>
          <w:lang w:val="fr-FR"/>
        </w:rPr>
        <w:t>’</w:t>
      </w:r>
      <w:r w:rsidRPr="00232ED9">
        <w:rPr>
          <w:lang w:val="fr-FR"/>
        </w:rPr>
        <w:t>il y a lieu de réparer de manière adéquate.</w:t>
      </w:r>
    </w:p>
    <w:p w:rsidR="00C96AC7"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59</w:t>
      </w:r>
      <w:r w:rsidRPr="00232ED9">
        <w:rPr>
          <w:noProof/>
        </w:rPr>
        <w:fldChar w:fldCharType="end"/>
      </w:r>
      <w:r w:rsidRPr="00232ED9">
        <w:rPr>
          <w:lang w:val="fr-FR"/>
        </w:rPr>
        <w:t>.  </w:t>
      </w:r>
      <w:r w:rsidR="005A6B93" w:rsidRPr="00232ED9">
        <w:rPr>
          <w:lang w:val="fr-FR"/>
        </w:rPr>
        <w:t>Compte tenu des circonstances de l</w:t>
      </w:r>
      <w:r w:rsidR="00232ED9" w:rsidRPr="00232ED9">
        <w:rPr>
          <w:lang w:val="fr-FR"/>
        </w:rPr>
        <w:t>’</w:t>
      </w:r>
      <w:r w:rsidR="005A6B93" w:rsidRPr="00232ED9">
        <w:rPr>
          <w:lang w:val="fr-FR"/>
        </w:rPr>
        <w:t>espèce, et statuant en équité</w:t>
      </w:r>
      <w:r w:rsidR="00315EE5" w:rsidRPr="00232ED9">
        <w:rPr>
          <w:lang w:val="fr-FR"/>
        </w:rPr>
        <w:t>,</w:t>
      </w:r>
      <w:r w:rsidR="005A6B93" w:rsidRPr="00232ED9">
        <w:rPr>
          <w:lang w:val="fr-FR"/>
        </w:rPr>
        <w:t xml:space="preserve"> la Cour alloue aux requérants, conjointement, 5 000 EUR à titre de dommage moral.</w:t>
      </w:r>
    </w:p>
    <w:p w:rsidR="00C96AC7" w:rsidRPr="00232ED9" w:rsidRDefault="005C05F1" w:rsidP="00232ED9">
      <w:pPr>
        <w:pStyle w:val="ECHRHeading2"/>
        <w:rPr>
          <w:lang w:val="fr-FR"/>
        </w:rPr>
      </w:pPr>
      <w:r w:rsidRPr="00232ED9">
        <w:rPr>
          <w:lang w:val="fr-FR"/>
        </w:rPr>
        <w:t>C.  Frais et dépens</w:t>
      </w:r>
    </w:p>
    <w:p w:rsidR="00C96AC7"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60</w:t>
      </w:r>
      <w:r w:rsidRPr="00232ED9">
        <w:rPr>
          <w:noProof/>
        </w:rPr>
        <w:fldChar w:fldCharType="end"/>
      </w:r>
      <w:r w:rsidRPr="00232ED9">
        <w:rPr>
          <w:lang w:val="fr-FR"/>
        </w:rPr>
        <w:t>.  </w:t>
      </w:r>
      <w:r w:rsidRPr="00232ED9">
        <w:rPr>
          <w:rFonts w:ascii="Times New Roman" w:hAnsi="Times New Roman" w:cs="Times New Roman"/>
          <w:color w:val="000000"/>
          <w:lang w:val="fr-FR"/>
        </w:rPr>
        <w:t>Notes d</w:t>
      </w:r>
      <w:r w:rsidR="00232ED9" w:rsidRPr="00232ED9">
        <w:rPr>
          <w:rFonts w:ascii="Times New Roman" w:hAnsi="Times New Roman" w:cs="Times New Roman"/>
          <w:color w:val="000000"/>
          <w:lang w:val="fr-FR"/>
        </w:rPr>
        <w:t>’</w:t>
      </w:r>
      <w:r w:rsidRPr="00232ED9">
        <w:rPr>
          <w:rFonts w:ascii="Times New Roman" w:hAnsi="Times New Roman" w:cs="Times New Roman"/>
          <w:color w:val="000000"/>
          <w:lang w:val="fr-FR"/>
        </w:rPr>
        <w:t>honoraires à l</w:t>
      </w:r>
      <w:r w:rsidR="00232ED9" w:rsidRPr="00232ED9">
        <w:rPr>
          <w:rFonts w:ascii="Times New Roman" w:hAnsi="Times New Roman" w:cs="Times New Roman"/>
          <w:color w:val="000000"/>
          <w:lang w:val="fr-FR"/>
        </w:rPr>
        <w:t>’</w:t>
      </w:r>
      <w:r w:rsidRPr="00232ED9">
        <w:rPr>
          <w:rFonts w:ascii="Times New Roman" w:hAnsi="Times New Roman" w:cs="Times New Roman"/>
          <w:color w:val="000000"/>
          <w:lang w:val="fr-FR"/>
        </w:rPr>
        <w:t xml:space="preserve">appui, </w:t>
      </w:r>
      <w:r w:rsidRPr="00232ED9">
        <w:rPr>
          <w:noProof/>
          <w:lang w:val="fr-FR"/>
        </w:rPr>
        <w:t>les requérants</w:t>
      </w:r>
      <w:r w:rsidRPr="00232ED9">
        <w:rPr>
          <w:lang w:val="fr-FR"/>
        </w:rPr>
        <w:t xml:space="preserve"> demandent également </w:t>
      </w:r>
      <w:r w:rsidR="00E237CA" w:rsidRPr="00232ED9">
        <w:rPr>
          <w:lang w:val="fr-FR"/>
        </w:rPr>
        <w:t>5</w:t>
      </w:r>
      <w:r w:rsidRPr="00232ED9">
        <w:rPr>
          <w:lang w:val="fr-FR"/>
        </w:rPr>
        <w:t xml:space="preserve">0 000 EUR pour les frais et dépens engagés devant les juridictions internes et </w:t>
      </w:r>
      <w:r w:rsidR="00E237CA" w:rsidRPr="00232ED9">
        <w:rPr>
          <w:lang w:val="fr-FR"/>
        </w:rPr>
        <w:t xml:space="preserve">40 000 </w:t>
      </w:r>
      <w:r w:rsidRPr="00232ED9">
        <w:rPr>
          <w:lang w:val="fr-FR"/>
        </w:rPr>
        <w:t>devant la Cour.</w:t>
      </w:r>
    </w:p>
    <w:p w:rsidR="005C05F1" w:rsidRPr="00232ED9" w:rsidRDefault="005C05F1" w:rsidP="00232ED9">
      <w:pPr>
        <w:pStyle w:val="ECHRPara"/>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61</w:t>
      </w:r>
      <w:r w:rsidRPr="00232ED9">
        <w:fldChar w:fldCharType="end"/>
      </w:r>
      <w:r w:rsidRPr="00232ED9">
        <w:rPr>
          <w:lang w:val="fr-FR"/>
        </w:rPr>
        <w:t>.  Le Gouvernement s</w:t>
      </w:r>
      <w:r w:rsidR="00232ED9" w:rsidRPr="00232ED9">
        <w:rPr>
          <w:lang w:val="fr-FR"/>
        </w:rPr>
        <w:t>’</w:t>
      </w:r>
      <w:r w:rsidRPr="00232ED9">
        <w:rPr>
          <w:lang w:val="fr-FR"/>
        </w:rPr>
        <w:t>y oppose.</w:t>
      </w:r>
    </w:p>
    <w:p w:rsidR="005C05F1" w:rsidRPr="00232ED9" w:rsidRDefault="005C05F1" w:rsidP="00232ED9">
      <w:pPr>
        <w:pStyle w:val="ECHRPara"/>
        <w:rPr>
          <w:color w:val="000000"/>
          <w:szCs w:val="24"/>
          <w:lang w:val="fr-FR" w:eastAsia="en-GB"/>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62</w:t>
      </w:r>
      <w:r w:rsidRPr="00232ED9">
        <w:rPr>
          <w:noProof/>
        </w:rPr>
        <w:fldChar w:fldCharType="end"/>
      </w:r>
      <w:r w:rsidRPr="00232ED9">
        <w:rPr>
          <w:lang w:val="fr-FR"/>
        </w:rPr>
        <w:t>.  </w:t>
      </w:r>
      <w:r w:rsidRPr="00232ED9">
        <w:rPr>
          <w:color w:val="000000"/>
          <w:szCs w:val="24"/>
          <w:lang w:val="fr-FR" w:eastAsia="en-GB"/>
        </w:rPr>
        <w:t>La Cour ne doute pas de la nécessité d</w:t>
      </w:r>
      <w:r w:rsidR="00232ED9" w:rsidRPr="00232ED9">
        <w:rPr>
          <w:color w:val="000000"/>
          <w:szCs w:val="24"/>
          <w:lang w:val="fr-FR" w:eastAsia="en-GB"/>
        </w:rPr>
        <w:t>’</w:t>
      </w:r>
      <w:r w:rsidRPr="00232ED9">
        <w:rPr>
          <w:color w:val="000000"/>
          <w:szCs w:val="24"/>
          <w:lang w:val="fr-FR" w:eastAsia="en-GB"/>
        </w:rPr>
        <w:t>engager des frais, mais elle trouve excessifs les honoraires totaux revendiqués à ce titre. Elle considère dès lors qu</w:t>
      </w:r>
      <w:r w:rsidR="00232ED9" w:rsidRPr="00232ED9">
        <w:rPr>
          <w:color w:val="000000"/>
          <w:szCs w:val="24"/>
          <w:lang w:val="fr-FR" w:eastAsia="en-GB"/>
        </w:rPr>
        <w:t>’</w:t>
      </w:r>
      <w:r w:rsidRPr="00232ED9">
        <w:rPr>
          <w:color w:val="000000"/>
          <w:szCs w:val="24"/>
          <w:lang w:val="fr-FR" w:eastAsia="en-GB"/>
        </w:rPr>
        <w:t>il y a lieu de les rembourser en partie seulement.</w:t>
      </w:r>
    </w:p>
    <w:p w:rsidR="005C05F1" w:rsidRPr="00232ED9" w:rsidRDefault="005C05F1" w:rsidP="00232ED9">
      <w:pPr>
        <w:pStyle w:val="ECHRPara"/>
        <w:rPr>
          <w:lang w:val="fr-FR"/>
        </w:rPr>
      </w:pPr>
      <w:r w:rsidRPr="00232ED9">
        <w:rPr>
          <w:color w:val="000000"/>
          <w:szCs w:val="24"/>
          <w:lang w:eastAsia="en-GB"/>
        </w:rPr>
        <w:fldChar w:fldCharType="begin"/>
      </w:r>
      <w:r w:rsidRPr="00232ED9">
        <w:rPr>
          <w:color w:val="000000"/>
          <w:szCs w:val="24"/>
          <w:lang w:val="fr-FR" w:eastAsia="en-GB"/>
        </w:rPr>
        <w:instrText xml:space="preserve"> SEQ level0 \*arabic </w:instrText>
      </w:r>
      <w:r w:rsidRPr="00232ED9">
        <w:rPr>
          <w:color w:val="000000"/>
          <w:szCs w:val="24"/>
          <w:lang w:eastAsia="en-GB"/>
        </w:rPr>
        <w:fldChar w:fldCharType="separate"/>
      </w:r>
      <w:r w:rsidR="00232ED9" w:rsidRPr="00232ED9">
        <w:rPr>
          <w:noProof/>
          <w:color w:val="000000"/>
          <w:szCs w:val="24"/>
          <w:lang w:val="fr-FR" w:eastAsia="en-GB"/>
        </w:rPr>
        <w:t>63</w:t>
      </w:r>
      <w:r w:rsidRPr="00232ED9">
        <w:rPr>
          <w:color w:val="000000"/>
          <w:szCs w:val="24"/>
          <w:lang w:eastAsia="en-GB"/>
        </w:rPr>
        <w:fldChar w:fldCharType="end"/>
      </w:r>
      <w:r w:rsidRPr="00232ED9">
        <w:rPr>
          <w:color w:val="000000"/>
          <w:szCs w:val="24"/>
          <w:lang w:val="fr-FR" w:eastAsia="en-GB"/>
        </w:rPr>
        <w:t>.  Compte tenu des circonstances de la cause, la Cour juge raisonnable d</w:t>
      </w:r>
      <w:r w:rsidR="00232ED9" w:rsidRPr="00232ED9">
        <w:rPr>
          <w:color w:val="000000"/>
          <w:szCs w:val="24"/>
          <w:lang w:val="fr-FR" w:eastAsia="en-GB"/>
        </w:rPr>
        <w:t>’</w:t>
      </w:r>
      <w:r w:rsidRPr="00232ED9">
        <w:rPr>
          <w:color w:val="000000"/>
          <w:szCs w:val="24"/>
          <w:lang w:val="fr-FR" w:eastAsia="en-GB"/>
        </w:rPr>
        <w:t>allouer un montant de 5 000 EUR pour l</w:t>
      </w:r>
      <w:r w:rsidR="00232ED9" w:rsidRPr="00232ED9">
        <w:rPr>
          <w:color w:val="000000"/>
          <w:szCs w:val="24"/>
          <w:lang w:val="fr-FR" w:eastAsia="en-GB"/>
        </w:rPr>
        <w:t>’</w:t>
      </w:r>
      <w:r w:rsidRPr="00232ED9">
        <w:rPr>
          <w:color w:val="000000"/>
          <w:szCs w:val="24"/>
          <w:lang w:val="fr-FR" w:eastAsia="en-GB"/>
        </w:rPr>
        <w:t>ensemble de frais exposés.</w:t>
      </w:r>
    </w:p>
    <w:p w:rsidR="00C96AC7" w:rsidRPr="00232ED9" w:rsidRDefault="005C05F1" w:rsidP="00232ED9">
      <w:pPr>
        <w:pStyle w:val="ECHRHeading2"/>
        <w:rPr>
          <w:lang w:val="fr-FR"/>
        </w:rPr>
      </w:pPr>
      <w:r w:rsidRPr="00232ED9">
        <w:rPr>
          <w:lang w:val="fr-FR"/>
        </w:rPr>
        <w:t>D.  Intérêts moratoires</w:t>
      </w:r>
    </w:p>
    <w:p w:rsidR="005C05F1" w:rsidRPr="00232ED9" w:rsidRDefault="005C05F1" w:rsidP="00232ED9">
      <w:pPr>
        <w:pStyle w:val="JuParaSub"/>
        <w:ind w:left="0"/>
        <w:rPr>
          <w:lang w:val="fr-FR"/>
        </w:rPr>
      </w:pPr>
      <w:r w:rsidRPr="00232ED9">
        <w:fldChar w:fldCharType="begin"/>
      </w:r>
      <w:r w:rsidRPr="00232ED9">
        <w:rPr>
          <w:lang w:val="fr-FR"/>
        </w:rPr>
        <w:instrText xml:space="preserve"> SEQ level0 \*arabic </w:instrText>
      </w:r>
      <w:r w:rsidRPr="00232ED9">
        <w:fldChar w:fldCharType="separate"/>
      </w:r>
      <w:r w:rsidR="00232ED9" w:rsidRPr="00232ED9">
        <w:rPr>
          <w:noProof/>
          <w:lang w:val="fr-FR"/>
        </w:rPr>
        <w:t>64</w:t>
      </w:r>
      <w:r w:rsidRPr="00232ED9">
        <w:rPr>
          <w:noProof/>
        </w:rPr>
        <w:fldChar w:fldCharType="end"/>
      </w:r>
      <w:r w:rsidRPr="00232ED9">
        <w:rPr>
          <w:lang w:val="fr-FR"/>
        </w:rPr>
        <w:t>.  La Cour juge approprié de calquer le taux des intérêts moratoires sur le taux d</w:t>
      </w:r>
      <w:r w:rsidR="00232ED9" w:rsidRPr="00232ED9">
        <w:rPr>
          <w:lang w:val="fr-FR"/>
        </w:rPr>
        <w:t>’</w:t>
      </w:r>
      <w:r w:rsidRPr="00232ED9">
        <w:rPr>
          <w:lang w:val="fr-FR"/>
        </w:rPr>
        <w:t>intérêt de la facilité de prêt marginal de la Banque centrale européenne majoré de trois points de pourcentage.</w:t>
      </w:r>
    </w:p>
    <w:p w:rsidR="005C05F1" w:rsidRPr="00232ED9" w:rsidRDefault="005C05F1" w:rsidP="00232ED9">
      <w:pPr>
        <w:pStyle w:val="ECHRTitle1"/>
        <w:rPr>
          <w:lang w:val="fr-FR"/>
        </w:rPr>
      </w:pPr>
      <w:r w:rsidRPr="00232ED9">
        <w:rPr>
          <w:lang w:val="fr-FR"/>
        </w:rPr>
        <w:lastRenderedPageBreak/>
        <w:t>PAR CES MOTIFS, LA COUR, À L</w:t>
      </w:r>
      <w:r w:rsidR="00232ED9" w:rsidRPr="00232ED9">
        <w:rPr>
          <w:lang w:val="fr-FR"/>
        </w:rPr>
        <w:t>’</w:t>
      </w:r>
      <w:r w:rsidRPr="00232ED9">
        <w:rPr>
          <w:lang w:val="fr-FR"/>
        </w:rPr>
        <w:t>UNANIMITÉ,</w:t>
      </w:r>
    </w:p>
    <w:p w:rsidR="001D6EC0" w:rsidRPr="00232ED9" w:rsidRDefault="005C05F1" w:rsidP="00232ED9">
      <w:pPr>
        <w:pStyle w:val="JuList"/>
        <w:rPr>
          <w:lang w:val="fr-FR"/>
        </w:rPr>
      </w:pPr>
      <w:r w:rsidRPr="00232ED9">
        <w:rPr>
          <w:lang w:val="fr-FR"/>
        </w:rPr>
        <w:t>1.</w:t>
      </w:r>
      <w:r w:rsidR="001264CB" w:rsidRPr="00232ED9">
        <w:rPr>
          <w:lang w:val="fr-FR"/>
        </w:rPr>
        <w:t>  </w:t>
      </w:r>
      <w:r w:rsidR="001D6EC0" w:rsidRPr="00232ED9">
        <w:rPr>
          <w:i/>
          <w:lang w:val="fr-FR"/>
        </w:rPr>
        <w:t>Rejette</w:t>
      </w:r>
      <w:r w:rsidR="001D6EC0" w:rsidRPr="00232ED9">
        <w:rPr>
          <w:lang w:val="fr-FR"/>
        </w:rPr>
        <w:t xml:space="preserve"> la demande de radiation du rôle de la requête ;</w:t>
      </w:r>
    </w:p>
    <w:p w:rsidR="00D36CEA" w:rsidRPr="00232ED9" w:rsidRDefault="00D36CEA" w:rsidP="00232ED9">
      <w:pPr>
        <w:pStyle w:val="JuList"/>
        <w:rPr>
          <w:lang w:val="fr-FR"/>
        </w:rPr>
      </w:pPr>
    </w:p>
    <w:p w:rsidR="005C05F1" w:rsidRPr="00232ED9" w:rsidRDefault="00D36CEA" w:rsidP="00232ED9">
      <w:pPr>
        <w:pStyle w:val="JuList"/>
        <w:rPr>
          <w:lang w:val="fr-FR"/>
        </w:rPr>
      </w:pPr>
      <w:r w:rsidRPr="00232ED9">
        <w:rPr>
          <w:lang w:val="fr-FR"/>
        </w:rPr>
        <w:t>2.</w:t>
      </w:r>
      <w:r w:rsidR="001264CB" w:rsidRPr="00232ED9">
        <w:rPr>
          <w:lang w:val="fr-FR"/>
        </w:rPr>
        <w:t>  </w:t>
      </w:r>
      <w:r w:rsidR="005C05F1" w:rsidRPr="00232ED9">
        <w:rPr>
          <w:i/>
          <w:lang w:val="fr-FR"/>
        </w:rPr>
        <w:t xml:space="preserve">Déclare </w:t>
      </w:r>
      <w:r w:rsidR="00F604EC" w:rsidRPr="00232ED9">
        <w:rPr>
          <w:lang w:val="fr-FR"/>
        </w:rPr>
        <w:t>la requête recevable quant aux griefs tirés de l</w:t>
      </w:r>
      <w:r w:rsidR="00232ED9" w:rsidRPr="00232ED9">
        <w:rPr>
          <w:lang w:val="fr-FR"/>
        </w:rPr>
        <w:t>’</w:t>
      </w:r>
      <w:r w:rsidR="00F604EC" w:rsidRPr="00232ED9">
        <w:rPr>
          <w:lang w:val="fr-FR"/>
        </w:rPr>
        <w:t>article 1 du Protocole n</w:t>
      </w:r>
      <w:r w:rsidR="00E90C16" w:rsidRPr="00232ED9">
        <w:rPr>
          <w:vertAlign w:val="superscript"/>
          <w:lang w:val="fr-FR"/>
        </w:rPr>
        <w:t xml:space="preserve">o </w:t>
      </w:r>
      <w:r w:rsidR="00F604EC" w:rsidRPr="00232ED9">
        <w:rPr>
          <w:lang w:val="fr-FR"/>
        </w:rPr>
        <w:t>1 et de l</w:t>
      </w:r>
      <w:r w:rsidR="00232ED9" w:rsidRPr="00232ED9">
        <w:rPr>
          <w:lang w:val="fr-FR"/>
        </w:rPr>
        <w:t>’</w:t>
      </w:r>
      <w:r w:rsidR="00F604EC" w:rsidRPr="00232ED9">
        <w:rPr>
          <w:lang w:val="fr-FR"/>
        </w:rPr>
        <w:t xml:space="preserve">article 6 § 1 de la Convention, et irrecevable pour le surplus </w:t>
      </w:r>
      <w:r w:rsidR="005C05F1" w:rsidRPr="00232ED9">
        <w:rPr>
          <w:lang w:val="fr-FR"/>
        </w:rPr>
        <w:t>;</w:t>
      </w:r>
    </w:p>
    <w:p w:rsidR="005C05F1" w:rsidRPr="00232ED9" w:rsidRDefault="005C05F1" w:rsidP="00232ED9">
      <w:pPr>
        <w:pStyle w:val="JuList"/>
        <w:rPr>
          <w:lang w:val="fr-FR"/>
        </w:rPr>
      </w:pPr>
    </w:p>
    <w:p w:rsidR="005C05F1" w:rsidRPr="00232ED9" w:rsidRDefault="00D36CEA" w:rsidP="00232ED9">
      <w:pPr>
        <w:pStyle w:val="JuList"/>
        <w:rPr>
          <w:lang w:val="fr-FR"/>
        </w:rPr>
      </w:pPr>
      <w:r w:rsidRPr="00232ED9">
        <w:rPr>
          <w:lang w:val="fr-FR"/>
        </w:rPr>
        <w:t>3</w:t>
      </w:r>
      <w:r w:rsidR="005C05F1" w:rsidRPr="00232ED9">
        <w:rPr>
          <w:lang w:val="fr-FR"/>
        </w:rPr>
        <w:t>.  </w:t>
      </w:r>
      <w:r w:rsidR="005C05F1" w:rsidRPr="00232ED9">
        <w:rPr>
          <w:i/>
          <w:lang w:val="fr-FR"/>
        </w:rPr>
        <w:t>Dit</w:t>
      </w:r>
      <w:r w:rsidR="005C05F1" w:rsidRPr="00232ED9">
        <w:rPr>
          <w:lang w:val="fr-FR"/>
        </w:rPr>
        <w:t xml:space="preserve"> qu</w:t>
      </w:r>
      <w:r w:rsidR="00232ED9" w:rsidRPr="00232ED9">
        <w:rPr>
          <w:lang w:val="fr-FR"/>
        </w:rPr>
        <w:t>’</w:t>
      </w:r>
      <w:r w:rsidR="005C05F1" w:rsidRPr="00232ED9">
        <w:rPr>
          <w:lang w:val="fr-FR"/>
        </w:rPr>
        <w:t>il y a eu violation de l</w:t>
      </w:r>
      <w:r w:rsidR="00232ED9" w:rsidRPr="00232ED9">
        <w:rPr>
          <w:lang w:val="fr-FR"/>
        </w:rPr>
        <w:t>’</w:t>
      </w:r>
      <w:r w:rsidR="005C05F1" w:rsidRPr="00232ED9">
        <w:rPr>
          <w:lang w:val="fr-FR"/>
        </w:rPr>
        <w:t>article 1 du Protocole n</w:t>
      </w:r>
      <w:r w:rsidR="005C05F1" w:rsidRPr="00232ED9">
        <w:rPr>
          <w:vertAlign w:val="superscript"/>
          <w:lang w:val="fr-FR"/>
        </w:rPr>
        <w:t>o</w:t>
      </w:r>
      <w:r w:rsidR="005C05F1" w:rsidRPr="00232ED9">
        <w:rPr>
          <w:lang w:val="fr-FR"/>
        </w:rPr>
        <w:t xml:space="preserve"> 1 ;</w:t>
      </w:r>
    </w:p>
    <w:p w:rsidR="00CF04DE" w:rsidRPr="00232ED9" w:rsidRDefault="00CF04DE" w:rsidP="00232ED9">
      <w:pPr>
        <w:pStyle w:val="JuList"/>
        <w:rPr>
          <w:lang w:val="fr-FR"/>
        </w:rPr>
      </w:pPr>
    </w:p>
    <w:p w:rsidR="00CF04DE" w:rsidRPr="00232ED9" w:rsidRDefault="00D36CEA" w:rsidP="00232ED9">
      <w:pPr>
        <w:pStyle w:val="JuList"/>
        <w:rPr>
          <w:lang w:val="fr-FR"/>
        </w:rPr>
      </w:pPr>
      <w:r w:rsidRPr="00232ED9">
        <w:rPr>
          <w:lang w:val="fr-FR"/>
        </w:rPr>
        <w:t>4</w:t>
      </w:r>
      <w:r w:rsidR="00C471FF" w:rsidRPr="00232ED9">
        <w:rPr>
          <w:lang w:val="fr-FR"/>
        </w:rPr>
        <w:t>.  </w:t>
      </w:r>
      <w:r w:rsidR="00CF04DE" w:rsidRPr="00232ED9">
        <w:rPr>
          <w:lang w:val="fr-FR"/>
        </w:rPr>
        <w:t>Dit qu</w:t>
      </w:r>
      <w:r w:rsidR="00232ED9" w:rsidRPr="00232ED9">
        <w:rPr>
          <w:lang w:val="fr-FR"/>
        </w:rPr>
        <w:t>’</w:t>
      </w:r>
      <w:r w:rsidR="00CF04DE" w:rsidRPr="00232ED9">
        <w:rPr>
          <w:lang w:val="fr-FR"/>
        </w:rPr>
        <w:t>il n</w:t>
      </w:r>
      <w:r w:rsidR="00232ED9" w:rsidRPr="00232ED9">
        <w:rPr>
          <w:lang w:val="fr-FR"/>
        </w:rPr>
        <w:t>’</w:t>
      </w:r>
      <w:r w:rsidR="00CF04DE" w:rsidRPr="00232ED9">
        <w:rPr>
          <w:lang w:val="fr-FR"/>
        </w:rPr>
        <w:t>y a pas lieu d</w:t>
      </w:r>
      <w:r w:rsidR="00232ED9" w:rsidRPr="00232ED9">
        <w:rPr>
          <w:lang w:val="fr-FR"/>
        </w:rPr>
        <w:t>’</w:t>
      </w:r>
      <w:r w:rsidR="00CF04DE" w:rsidRPr="00232ED9">
        <w:rPr>
          <w:lang w:val="fr-FR"/>
        </w:rPr>
        <w:t>examiner le grief tiré de</w:t>
      </w:r>
      <w:r w:rsidR="00533B3B" w:rsidRPr="00232ED9">
        <w:rPr>
          <w:lang w:val="fr-FR"/>
        </w:rPr>
        <w:t xml:space="preserve"> l</w:t>
      </w:r>
      <w:r w:rsidR="00232ED9" w:rsidRPr="00232ED9">
        <w:rPr>
          <w:lang w:val="fr-FR"/>
        </w:rPr>
        <w:t>’</w:t>
      </w:r>
      <w:r w:rsidR="00533B3B" w:rsidRPr="00232ED9">
        <w:rPr>
          <w:lang w:val="fr-FR"/>
        </w:rPr>
        <w:t>article</w:t>
      </w:r>
      <w:r w:rsidR="00CF04DE" w:rsidRPr="00232ED9">
        <w:rPr>
          <w:lang w:val="fr-FR"/>
        </w:rPr>
        <w:t xml:space="preserve"> 6 § 1</w:t>
      </w:r>
      <w:r w:rsidR="00533B3B" w:rsidRPr="00232ED9">
        <w:rPr>
          <w:lang w:val="fr-FR"/>
        </w:rPr>
        <w:t xml:space="preserve"> </w:t>
      </w:r>
      <w:r w:rsidR="00CF04DE" w:rsidRPr="00232ED9">
        <w:rPr>
          <w:lang w:val="fr-FR"/>
        </w:rPr>
        <w:t>de la Convention ;</w:t>
      </w:r>
    </w:p>
    <w:p w:rsidR="005C05F1" w:rsidRPr="00232ED9" w:rsidRDefault="005C05F1" w:rsidP="00232ED9">
      <w:pPr>
        <w:pStyle w:val="JuList"/>
        <w:rPr>
          <w:lang w:val="fr-FR"/>
        </w:rPr>
      </w:pPr>
    </w:p>
    <w:p w:rsidR="005C05F1" w:rsidRPr="00232ED9" w:rsidRDefault="00D36CEA" w:rsidP="00232ED9">
      <w:pPr>
        <w:pStyle w:val="JuList"/>
        <w:rPr>
          <w:lang w:val="fr-FR"/>
        </w:rPr>
      </w:pPr>
      <w:r w:rsidRPr="00232ED9">
        <w:rPr>
          <w:lang w:val="fr-FR"/>
        </w:rPr>
        <w:t>5</w:t>
      </w:r>
      <w:r w:rsidR="005C05F1" w:rsidRPr="00232ED9">
        <w:rPr>
          <w:lang w:val="fr-FR"/>
        </w:rPr>
        <w:t>.  </w:t>
      </w:r>
      <w:r w:rsidR="005C05F1" w:rsidRPr="00232ED9">
        <w:rPr>
          <w:i/>
          <w:lang w:val="fr-FR"/>
        </w:rPr>
        <w:t>Dit</w:t>
      </w:r>
    </w:p>
    <w:p w:rsidR="005C05F1" w:rsidRPr="00232ED9" w:rsidRDefault="005C05F1" w:rsidP="00232ED9">
      <w:pPr>
        <w:pStyle w:val="JuLista"/>
        <w:rPr>
          <w:lang w:val="fr-FR"/>
        </w:rPr>
      </w:pPr>
      <w:r w:rsidRPr="00232ED9">
        <w:rPr>
          <w:lang w:val="fr-FR"/>
        </w:rPr>
        <w:t>a)  que l</w:t>
      </w:r>
      <w:r w:rsidR="00232ED9" w:rsidRPr="00232ED9">
        <w:rPr>
          <w:lang w:val="fr-FR"/>
        </w:rPr>
        <w:t>’</w:t>
      </w:r>
      <w:r w:rsidRPr="00232ED9">
        <w:rPr>
          <w:lang w:val="fr-FR"/>
        </w:rPr>
        <w:t>État défendeur doit verser aux requérants,</w:t>
      </w:r>
      <w:r w:rsidR="008B0ED0" w:rsidRPr="00232ED9">
        <w:rPr>
          <w:lang w:val="fr-FR"/>
        </w:rPr>
        <w:t xml:space="preserve"> conjointement,</w:t>
      </w:r>
      <w:r w:rsidRPr="00232ED9">
        <w:rPr>
          <w:lang w:val="fr-FR"/>
        </w:rPr>
        <w:t xml:space="preserve"> dans les trois mois, les sommes suivantes:</w:t>
      </w:r>
    </w:p>
    <w:p w:rsidR="005C05F1" w:rsidRPr="00232ED9" w:rsidRDefault="00262052" w:rsidP="00232ED9">
      <w:pPr>
        <w:pStyle w:val="JuListi"/>
        <w:rPr>
          <w:lang w:val="fr-FR" w:eastAsia="en-GB"/>
        </w:rPr>
      </w:pPr>
      <w:r w:rsidRPr="00232ED9">
        <w:rPr>
          <w:lang w:val="fr-FR" w:eastAsia="en-GB"/>
        </w:rPr>
        <w:t>i.</w:t>
      </w:r>
      <w:r w:rsidR="00543ED4" w:rsidRPr="00232ED9">
        <w:rPr>
          <w:lang w:val="fr-FR" w:eastAsia="en-GB"/>
        </w:rPr>
        <w:t>  </w:t>
      </w:r>
      <w:r w:rsidR="00CC612F" w:rsidRPr="00232ED9">
        <w:rPr>
          <w:lang w:val="fr-FR" w:eastAsia="en-GB"/>
        </w:rPr>
        <w:t>790 700</w:t>
      </w:r>
      <w:r w:rsidR="005C05F1" w:rsidRPr="00232ED9">
        <w:rPr>
          <w:lang w:val="fr-FR" w:eastAsia="en-GB"/>
        </w:rPr>
        <w:t xml:space="preserve"> EUR (</w:t>
      </w:r>
      <w:r w:rsidR="00CC612F" w:rsidRPr="00232ED9">
        <w:rPr>
          <w:lang w:val="fr-FR" w:eastAsia="en-GB"/>
        </w:rPr>
        <w:t>sept</w:t>
      </w:r>
      <w:r w:rsidR="00D3289A" w:rsidRPr="00232ED9">
        <w:rPr>
          <w:lang w:val="fr-FR" w:eastAsia="en-GB"/>
        </w:rPr>
        <w:t xml:space="preserve"> cent </w:t>
      </w:r>
      <w:r w:rsidR="00CC612F" w:rsidRPr="00232ED9">
        <w:rPr>
          <w:lang w:val="fr-FR" w:eastAsia="en-GB"/>
        </w:rPr>
        <w:t xml:space="preserve">quatre-vingt-dix </w:t>
      </w:r>
      <w:r w:rsidR="003A0641" w:rsidRPr="00232ED9">
        <w:rPr>
          <w:lang w:val="fr-FR" w:eastAsia="en-GB"/>
        </w:rPr>
        <w:t xml:space="preserve">mille </w:t>
      </w:r>
      <w:r w:rsidR="00CC612F" w:rsidRPr="00232ED9">
        <w:rPr>
          <w:lang w:val="fr-FR" w:eastAsia="en-GB"/>
        </w:rPr>
        <w:t xml:space="preserve">sept cent </w:t>
      </w:r>
      <w:r w:rsidR="005D1B7D" w:rsidRPr="00232ED9">
        <w:rPr>
          <w:lang w:val="fr-FR" w:eastAsia="en-GB"/>
        </w:rPr>
        <w:t>euros</w:t>
      </w:r>
      <w:r w:rsidR="00995BCF" w:rsidRPr="00232ED9">
        <w:rPr>
          <w:lang w:val="fr-FR" w:eastAsia="en-GB"/>
        </w:rPr>
        <w:t>)</w:t>
      </w:r>
      <w:r w:rsidR="005C05F1" w:rsidRPr="00232ED9">
        <w:rPr>
          <w:lang w:val="fr-FR" w:eastAsia="en-GB"/>
        </w:rPr>
        <w:t>,</w:t>
      </w:r>
      <w:r w:rsidR="00547CAF" w:rsidRPr="00232ED9">
        <w:rPr>
          <w:lang w:val="fr-FR" w:eastAsia="en-GB"/>
        </w:rPr>
        <w:t xml:space="preserve"> </w:t>
      </w:r>
      <w:r w:rsidR="005C05F1" w:rsidRPr="00232ED9">
        <w:rPr>
          <w:lang w:val="fr-FR" w:eastAsia="en-GB"/>
        </w:rPr>
        <w:t>plus tout montant pouvant être dû à titre d</w:t>
      </w:r>
      <w:r w:rsidR="00232ED9" w:rsidRPr="00232ED9">
        <w:rPr>
          <w:lang w:val="fr-FR" w:eastAsia="en-GB"/>
        </w:rPr>
        <w:t>’</w:t>
      </w:r>
      <w:r w:rsidR="005C05F1" w:rsidRPr="00232ED9">
        <w:rPr>
          <w:lang w:val="fr-FR" w:eastAsia="en-GB"/>
        </w:rPr>
        <w:t>impôt, pour dommage matériel ;</w:t>
      </w:r>
    </w:p>
    <w:p w:rsidR="005C05F1" w:rsidRPr="00232ED9" w:rsidRDefault="00262052" w:rsidP="00232ED9">
      <w:pPr>
        <w:pStyle w:val="JuListi"/>
        <w:rPr>
          <w:lang w:val="fr-FR" w:eastAsia="en-GB"/>
        </w:rPr>
      </w:pPr>
      <w:r w:rsidRPr="00232ED9">
        <w:rPr>
          <w:lang w:val="fr-FR" w:eastAsia="en-GB"/>
        </w:rPr>
        <w:t>ii.</w:t>
      </w:r>
      <w:r w:rsidR="005C05F1" w:rsidRPr="00232ED9">
        <w:rPr>
          <w:lang w:val="fr-FR" w:eastAsia="en-GB"/>
        </w:rPr>
        <w:t>  </w:t>
      </w:r>
      <w:r w:rsidR="00DD5406" w:rsidRPr="00232ED9">
        <w:rPr>
          <w:lang w:val="fr-FR" w:eastAsia="en-GB"/>
        </w:rPr>
        <w:t>5</w:t>
      </w:r>
      <w:r w:rsidR="00543ED4" w:rsidRPr="00232ED9">
        <w:rPr>
          <w:lang w:val="fr-FR" w:eastAsia="en-GB"/>
        </w:rPr>
        <w:t xml:space="preserve"> 000</w:t>
      </w:r>
      <w:r w:rsidR="005C05F1" w:rsidRPr="00232ED9">
        <w:rPr>
          <w:lang w:val="fr-FR" w:eastAsia="en-GB"/>
        </w:rPr>
        <w:t xml:space="preserve"> EUR (</w:t>
      </w:r>
      <w:r w:rsidR="00DD5406" w:rsidRPr="00232ED9">
        <w:rPr>
          <w:lang w:val="fr-FR" w:eastAsia="en-GB"/>
        </w:rPr>
        <w:t>cinq</w:t>
      </w:r>
      <w:r w:rsidR="005C05F1" w:rsidRPr="00232ED9">
        <w:rPr>
          <w:lang w:val="fr-FR" w:eastAsia="en-GB"/>
        </w:rPr>
        <w:t xml:space="preserve"> mille euros), plus tout montant pouvant être dû à titre d</w:t>
      </w:r>
      <w:r w:rsidR="00232ED9" w:rsidRPr="00232ED9">
        <w:rPr>
          <w:lang w:val="fr-FR" w:eastAsia="en-GB"/>
        </w:rPr>
        <w:t>’</w:t>
      </w:r>
      <w:r w:rsidR="005C05F1" w:rsidRPr="00232ED9">
        <w:rPr>
          <w:lang w:val="fr-FR" w:eastAsia="en-GB"/>
        </w:rPr>
        <w:t>impôt, pour dommage moral ;</w:t>
      </w:r>
    </w:p>
    <w:p w:rsidR="005C05F1" w:rsidRPr="00232ED9" w:rsidRDefault="00262052" w:rsidP="00232ED9">
      <w:pPr>
        <w:pStyle w:val="JuListi"/>
        <w:rPr>
          <w:lang w:val="fr-FR" w:eastAsia="en-GB"/>
        </w:rPr>
      </w:pPr>
      <w:r w:rsidRPr="00232ED9">
        <w:rPr>
          <w:lang w:val="fr-FR" w:eastAsia="en-GB"/>
        </w:rPr>
        <w:t>iii.</w:t>
      </w:r>
      <w:r w:rsidR="005C05F1" w:rsidRPr="00232ED9">
        <w:rPr>
          <w:lang w:val="fr-FR" w:eastAsia="en-GB"/>
        </w:rPr>
        <w:t xml:space="preserve">  5 000 EUR (cinq mille euros), plus tout montant pouvant être dû par </w:t>
      </w:r>
      <w:r w:rsidR="005C05F1" w:rsidRPr="00232ED9">
        <w:rPr>
          <w:lang w:val="fr-FR"/>
        </w:rPr>
        <w:t>les requérants</w:t>
      </w:r>
      <w:r w:rsidR="005C05F1" w:rsidRPr="00232ED9">
        <w:rPr>
          <w:lang w:val="fr-FR" w:eastAsia="en-GB"/>
        </w:rPr>
        <w:t xml:space="preserve"> à titre d</w:t>
      </w:r>
      <w:r w:rsidR="00232ED9" w:rsidRPr="00232ED9">
        <w:rPr>
          <w:lang w:val="fr-FR" w:eastAsia="en-GB"/>
        </w:rPr>
        <w:t>’</w:t>
      </w:r>
      <w:r w:rsidR="005C05F1" w:rsidRPr="00232ED9">
        <w:rPr>
          <w:lang w:val="fr-FR" w:eastAsia="en-GB"/>
        </w:rPr>
        <w:t>impôt, pour frais et dépens ;</w:t>
      </w:r>
    </w:p>
    <w:p w:rsidR="005C05F1" w:rsidRPr="00232ED9" w:rsidRDefault="005C05F1" w:rsidP="00232ED9">
      <w:pPr>
        <w:pStyle w:val="JuLista"/>
        <w:rPr>
          <w:lang w:val="fr-FR"/>
        </w:rPr>
      </w:pPr>
      <w:r w:rsidRPr="00232ED9">
        <w:rPr>
          <w:lang w:val="fr-FR"/>
        </w:rPr>
        <w:t>b)  qu</w:t>
      </w:r>
      <w:r w:rsidR="00232ED9" w:rsidRPr="00232ED9">
        <w:rPr>
          <w:lang w:val="fr-FR"/>
        </w:rPr>
        <w:t>’</w:t>
      </w:r>
      <w:r w:rsidRPr="00232ED9">
        <w:rPr>
          <w:lang w:val="fr-FR"/>
        </w:rPr>
        <w:t>à compter de l</w:t>
      </w:r>
      <w:r w:rsidR="00232ED9" w:rsidRPr="00232ED9">
        <w:rPr>
          <w:lang w:val="fr-FR"/>
        </w:rPr>
        <w:t>’</w:t>
      </w:r>
      <w:r w:rsidRPr="00232ED9">
        <w:rPr>
          <w:lang w:val="fr-FR"/>
        </w:rPr>
        <w:t>expiration dudit délai et jusqu</w:t>
      </w:r>
      <w:r w:rsidR="00232ED9" w:rsidRPr="00232ED9">
        <w:rPr>
          <w:lang w:val="fr-FR"/>
        </w:rPr>
        <w:t>’</w:t>
      </w:r>
      <w:r w:rsidRPr="00232ED9">
        <w:rPr>
          <w:lang w:val="fr-FR"/>
        </w:rPr>
        <w:t>au versement, ces montants seront à majorer d</w:t>
      </w:r>
      <w:r w:rsidR="00232ED9" w:rsidRPr="00232ED9">
        <w:rPr>
          <w:lang w:val="fr-FR"/>
        </w:rPr>
        <w:t>’</w:t>
      </w:r>
      <w:r w:rsidRPr="00232ED9">
        <w:rPr>
          <w:lang w:val="fr-FR"/>
        </w:rPr>
        <w:t>un intérêt simple à un taux égal à celui de la facilité de prêt marginal de la Banque centrale européenne applicable pendant cette période, augmenté de trois points de pourcentage ;</w:t>
      </w:r>
    </w:p>
    <w:p w:rsidR="00735CDF" w:rsidRPr="00232ED9" w:rsidRDefault="00735CDF" w:rsidP="00232ED9">
      <w:pPr>
        <w:pStyle w:val="JuLista"/>
        <w:rPr>
          <w:lang w:val="fr-FR"/>
        </w:rPr>
      </w:pPr>
    </w:p>
    <w:p w:rsidR="00735CDF" w:rsidRPr="00232ED9" w:rsidRDefault="00735CDF" w:rsidP="00232ED9">
      <w:pPr>
        <w:pStyle w:val="JuList"/>
        <w:rPr>
          <w:lang w:val="fr-FR"/>
        </w:rPr>
      </w:pPr>
      <w:r w:rsidRPr="00232ED9">
        <w:rPr>
          <w:lang w:val="fr-FR"/>
        </w:rPr>
        <w:t>6.  </w:t>
      </w:r>
      <w:r w:rsidRPr="00232ED9">
        <w:rPr>
          <w:i/>
          <w:lang w:val="fr-FR"/>
        </w:rPr>
        <w:t>Rejette</w:t>
      </w:r>
      <w:r w:rsidRPr="00232ED9">
        <w:rPr>
          <w:lang w:val="fr-FR"/>
        </w:rPr>
        <w:t xml:space="preserve"> la demande de satisfaction équitable pour le surplus.</w:t>
      </w:r>
    </w:p>
    <w:p w:rsidR="00E77CB3" w:rsidRPr="00232ED9" w:rsidRDefault="00E77CB3" w:rsidP="00232ED9">
      <w:pPr>
        <w:pStyle w:val="JuParaLast"/>
        <w:rPr>
          <w:lang w:val="fr-FR"/>
        </w:rPr>
      </w:pPr>
      <w:r w:rsidRPr="00232ED9">
        <w:rPr>
          <w:lang w:val="fr-FR"/>
        </w:rPr>
        <w:t>Fait en français, puis communiqué par écrit le </w:t>
      </w:r>
      <w:r w:rsidR="00DC3C0F" w:rsidRPr="00232ED9">
        <w:rPr>
          <w:lang w:val="fr-FR"/>
        </w:rPr>
        <w:t>16 novembre</w:t>
      </w:r>
      <w:r w:rsidR="00362D8D" w:rsidRPr="00232ED9">
        <w:rPr>
          <w:lang w:val="fr-FR"/>
        </w:rPr>
        <w:t xml:space="preserve"> </w:t>
      </w:r>
      <w:r w:rsidR="00DC3C0F" w:rsidRPr="00232ED9">
        <w:rPr>
          <w:lang w:val="fr-FR"/>
        </w:rPr>
        <w:t>2017</w:t>
      </w:r>
      <w:r w:rsidRPr="00232ED9">
        <w:rPr>
          <w:lang w:val="fr-FR"/>
        </w:rPr>
        <w:t>, en application de l</w:t>
      </w:r>
      <w:r w:rsidR="00232ED9" w:rsidRPr="00232ED9">
        <w:rPr>
          <w:lang w:val="fr-FR"/>
        </w:rPr>
        <w:t>’</w:t>
      </w:r>
      <w:r w:rsidRPr="00232ED9">
        <w:rPr>
          <w:lang w:val="fr-FR"/>
        </w:rPr>
        <w:t>article 77 §§ 2 et 3 du règlement</w:t>
      </w:r>
      <w:r w:rsidR="00AC0824" w:rsidRPr="00232ED9">
        <w:rPr>
          <w:lang w:val="fr-FR"/>
        </w:rPr>
        <w:t xml:space="preserve"> de la Cour</w:t>
      </w:r>
      <w:r w:rsidRPr="00232ED9">
        <w:rPr>
          <w:lang w:val="fr-FR"/>
        </w:rPr>
        <w:t>.</w:t>
      </w:r>
    </w:p>
    <w:p w:rsidR="004D15F3" w:rsidRPr="00232ED9" w:rsidRDefault="002B5CC7" w:rsidP="00232ED9">
      <w:pPr>
        <w:pStyle w:val="JuSigned"/>
        <w:keepNext/>
        <w:keepLines/>
        <w:ind w:left="-142" w:firstLine="142"/>
        <w:rPr>
          <w:lang w:val="fr-FR"/>
        </w:rPr>
      </w:pPr>
      <w:r w:rsidRPr="00232ED9">
        <w:rPr>
          <w:lang w:val="fr-FR"/>
        </w:rPr>
        <w:t>Renata Degener</w:t>
      </w:r>
      <w:r w:rsidR="00E77CB3" w:rsidRPr="00232ED9">
        <w:rPr>
          <w:lang w:val="fr-FR"/>
        </w:rPr>
        <w:tab/>
      </w:r>
      <w:r w:rsidR="00DC3C0F" w:rsidRPr="00232ED9">
        <w:rPr>
          <w:lang w:val="fr-FR"/>
        </w:rPr>
        <w:t>Kristina Pardalos</w:t>
      </w:r>
      <w:r w:rsidR="00E77CB3" w:rsidRPr="00232ED9">
        <w:rPr>
          <w:lang w:val="fr-FR"/>
        </w:rPr>
        <w:br/>
      </w:r>
      <w:r w:rsidR="00E77CB3" w:rsidRPr="00232ED9">
        <w:rPr>
          <w:lang w:val="fr-FR"/>
        </w:rPr>
        <w:tab/>
      </w:r>
      <w:r w:rsidR="00093735" w:rsidRPr="00232ED9">
        <w:rPr>
          <w:lang w:val="fr-FR"/>
        </w:rPr>
        <w:t>Greffière adjointe</w:t>
      </w:r>
      <w:r w:rsidR="00E77CB3" w:rsidRPr="00232ED9">
        <w:rPr>
          <w:lang w:val="fr-FR"/>
        </w:rPr>
        <w:tab/>
      </w:r>
      <w:r w:rsidR="0065595C" w:rsidRPr="00232ED9">
        <w:rPr>
          <w:szCs w:val="24"/>
          <w:lang w:val="fr-FR"/>
        </w:rPr>
        <w:t>Présidente</w:t>
      </w:r>
    </w:p>
    <w:sectPr w:rsidR="004D15F3" w:rsidRPr="00232ED9" w:rsidSect="005B7AB3">
      <w:headerReference w:type="even" r:id="rId14"/>
      <w:headerReference w:type="default" r:id="rId15"/>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23" w:rsidRPr="0045067D" w:rsidRDefault="00293423" w:rsidP="00E77CB3">
      <w:pPr>
        <w:rPr>
          <w:lang w:val="fr-FR"/>
        </w:rPr>
      </w:pPr>
      <w:r w:rsidRPr="0045067D">
        <w:rPr>
          <w:lang w:val="fr-FR"/>
        </w:rPr>
        <w:separator/>
      </w:r>
    </w:p>
  </w:endnote>
  <w:endnote w:type="continuationSeparator" w:id="0">
    <w:p w:rsidR="00293423" w:rsidRPr="0045067D" w:rsidRDefault="00293423"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F3" w:rsidRPr="00150BFA" w:rsidRDefault="00D97DF3" w:rsidP="00D97DF3">
    <w:pPr>
      <w:jc w:val="center"/>
    </w:pPr>
    <w:r>
      <w:rPr>
        <w:noProof/>
        <w:lang w:val="it-IT" w:eastAsia="it-IT"/>
      </w:rPr>
      <w:drawing>
        <wp:inline distT="0" distB="0" distL="0" distR="0" wp14:anchorId="1E8064A2" wp14:editId="3EA16089">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97DF3" w:rsidRDefault="00D97D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23" w:rsidRPr="0045067D" w:rsidRDefault="00293423" w:rsidP="00E77CB3">
      <w:pPr>
        <w:rPr>
          <w:lang w:val="fr-FR"/>
        </w:rPr>
      </w:pPr>
      <w:r w:rsidRPr="0045067D">
        <w:rPr>
          <w:lang w:val="fr-FR"/>
        </w:rPr>
        <w:separator/>
      </w:r>
    </w:p>
  </w:footnote>
  <w:footnote w:type="continuationSeparator" w:id="0">
    <w:p w:rsidR="00293423" w:rsidRPr="0045067D" w:rsidRDefault="00293423" w:rsidP="00E77CB3">
      <w:pPr>
        <w:rPr>
          <w:lang w:val="fr-FR"/>
        </w:rPr>
      </w:pPr>
      <w:r w:rsidRPr="0045067D">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F3" w:rsidRPr="00DC3C0F" w:rsidRDefault="00D97DF3" w:rsidP="00DC3C0F">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F3" w:rsidRPr="00A45145" w:rsidRDefault="00D97DF3" w:rsidP="00D97DF3">
    <w:pPr>
      <w:jc w:val="center"/>
    </w:pPr>
    <w:r>
      <w:rPr>
        <w:noProof/>
        <w:lang w:val="it-IT" w:eastAsia="it-IT"/>
      </w:rPr>
      <w:drawing>
        <wp:inline distT="0" distB="0" distL="0" distR="0" wp14:anchorId="1F7ED40B" wp14:editId="5F997DEA">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97DF3" w:rsidRDefault="00D97D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F3" w:rsidRPr="0065595C" w:rsidRDefault="00D97DF3" w:rsidP="00C611D8">
    <w:pPr>
      <w:pStyle w:val="ECHRHeader"/>
      <w:rPr>
        <w:lang w:val="it-IT"/>
      </w:rPr>
    </w:pPr>
    <w:r>
      <w:rPr>
        <w:rStyle w:val="Numeropagina"/>
      </w:rPr>
      <w:fldChar w:fldCharType="begin"/>
    </w:r>
    <w:r w:rsidRPr="0065595C">
      <w:rPr>
        <w:rStyle w:val="Numeropagina"/>
        <w:lang w:val="it-IT"/>
      </w:rPr>
      <w:instrText xml:space="preserve"> PAGE </w:instrText>
    </w:r>
    <w:r>
      <w:rPr>
        <w:rStyle w:val="Numeropagina"/>
      </w:rPr>
      <w:fldChar w:fldCharType="separate"/>
    </w:r>
    <w:r w:rsidR="0079047E">
      <w:rPr>
        <w:rStyle w:val="Numeropagina"/>
        <w:noProof/>
        <w:lang w:val="it-IT"/>
      </w:rPr>
      <w:t>8</w:t>
    </w:r>
    <w:r>
      <w:rPr>
        <w:rStyle w:val="Numeropagina"/>
      </w:rPr>
      <w:fldChar w:fldCharType="end"/>
    </w:r>
    <w:r w:rsidRPr="0065595C">
      <w:rPr>
        <w:rStyle w:val="Numeropagina"/>
        <w:lang w:val="it-IT"/>
      </w:rPr>
      <w:tab/>
    </w:r>
    <w:r>
      <w:rPr>
        <w:noProof/>
        <w:lang w:val="it-IT"/>
      </w:rPr>
      <w:t>ARRÊT</w:t>
    </w:r>
    <w:r>
      <w:rPr>
        <w:lang w:val="it-IT"/>
      </w:rPr>
      <w:t xml:space="preserve"> MESSANA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F3" w:rsidRPr="0045067D" w:rsidRDefault="00D97DF3" w:rsidP="00C63990">
    <w:pPr>
      <w:pStyle w:val="ECHRHeader"/>
      <w:rPr>
        <w:lang w:val="fr-FR"/>
      </w:rPr>
    </w:pPr>
    <w:r w:rsidRPr="0045067D">
      <w:rPr>
        <w:lang w:val="fr-FR"/>
      </w:rPr>
      <w:tab/>
    </w:r>
    <w:r>
      <w:rPr>
        <w:noProof/>
      </w:rPr>
      <w:t>ARRÊT</w:t>
    </w:r>
    <w:r w:rsidRPr="00EF0A2E">
      <w:t xml:space="preserve"> </w:t>
    </w:r>
    <w:r>
      <w:t>MESSANA c. ITALIE</w:t>
    </w:r>
    <w:r w:rsidRPr="00EF0A2E">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9047E">
      <w:rPr>
        <w:rStyle w:val="Numeropagina"/>
        <w:noProof/>
        <w:lang w:val="fr-FR"/>
      </w:rPr>
      <w:t>9</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65595C"/>
    <w:rsid w:val="0000411C"/>
    <w:rsid w:val="000041F8"/>
    <w:rsid w:val="000042A8"/>
    <w:rsid w:val="00004308"/>
    <w:rsid w:val="00005BF0"/>
    <w:rsid w:val="00007154"/>
    <w:rsid w:val="000103AE"/>
    <w:rsid w:val="00010A2F"/>
    <w:rsid w:val="00011D69"/>
    <w:rsid w:val="000123DA"/>
    <w:rsid w:val="00012AD3"/>
    <w:rsid w:val="00015C2D"/>
    <w:rsid w:val="00015F00"/>
    <w:rsid w:val="00022C1D"/>
    <w:rsid w:val="000236F8"/>
    <w:rsid w:val="000276BE"/>
    <w:rsid w:val="00034987"/>
    <w:rsid w:val="000368AF"/>
    <w:rsid w:val="000406D7"/>
    <w:rsid w:val="000415F2"/>
    <w:rsid w:val="00044E31"/>
    <w:rsid w:val="0005014D"/>
    <w:rsid w:val="00056AE0"/>
    <w:rsid w:val="000602DF"/>
    <w:rsid w:val="00061B05"/>
    <w:rsid w:val="00061B22"/>
    <w:rsid w:val="000632D5"/>
    <w:rsid w:val="000644EE"/>
    <w:rsid w:val="00066A71"/>
    <w:rsid w:val="00073EF6"/>
    <w:rsid w:val="000922D1"/>
    <w:rsid w:val="000925AD"/>
    <w:rsid w:val="00093735"/>
    <w:rsid w:val="00094B9F"/>
    <w:rsid w:val="00097D67"/>
    <w:rsid w:val="000A24EB"/>
    <w:rsid w:val="000B0F0E"/>
    <w:rsid w:val="000B2BA0"/>
    <w:rsid w:val="000B6779"/>
    <w:rsid w:val="000B6923"/>
    <w:rsid w:val="000B6DFB"/>
    <w:rsid w:val="000C1B4F"/>
    <w:rsid w:val="000C2A1E"/>
    <w:rsid w:val="000C3C76"/>
    <w:rsid w:val="000C4001"/>
    <w:rsid w:val="000C5F3C"/>
    <w:rsid w:val="000C6DCC"/>
    <w:rsid w:val="000D0FB4"/>
    <w:rsid w:val="000D2562"/>
    <w:rsid w:val="000D47AA"/>
    <w:rsid w:val="000D721F"/>
    <w:rsid w:val="000D73A8"/>
    <w:rsid w:val="000E069B"/>
    <w:rsid w:val="000E0E82"/>
    <w:rsid w:val="000E1DC5"/>
    <w:rsid w:val="000E223F"/>
    <w:rsid w:val="000E38F6"/>
    <w:rsid w:val="000E489A"/>
    <w:rsid w:val="000E6307"/>
    <w:rsid w:val="000E6B88"/>
    <w:rsid w:val="000E7D45"/>
    <w:rsid w:val="000F00EF"/>
    <w:rsid w:val="000F15D2"/>
    <w:rsid w:val="000F1BCD"/>
    <w:rsid w:val="000F4086"/>
    <w:rsid w:val="000F4DF8"/>
    <w:rsid w:val="000F7851"/>
    <w:rsid w:val="001026DF"/>
    <w:rsid w:val="00104E23"/>
    <w:rsid w:val="00111B0C"/>
    <w:rsid w:val="00120D6C"/>
    <w:rsid w:val="00125065"/>
    <w:rsid w:val="001257EC"/>
    <w:rsid w:val="001264CB"/>
    <w:rsid w:val="00133D33"/>
    <w:rsid w:val="00134D64"/>
    <w:rsid w:val="00135A30"/>
    <w:rsid w:val="0013612C"/>
    <w:rsid w:val="00137FF6"/>
    <w:rsid w:val="00141650"/>
    <w:rsid w:val="001428D3"/>
    <w:rsid w:val="001436F4"/>
    <w:rsid w:val="001514F3"/>
    <w:rsid w:val="0015722B"/>
    <w:rsid w:val="0016174F"/>
    <w:rsid w:val="00162A12"/>
    <w:rsid w:val="00166530"/>
    <w:rsid w:val="001832BD"/>
    <w:rsid w:val="001943B5"/>
    <w:rsid w:val="00194E7C"/>
    <w:rsid w:val="00195134"/>
    <w:rsid w:val="001A037E"/>
    <w:rsid w:val="001A145B"/>
    <w:rsid w:val="001A674C"/>
    <w:rsid w:val="001B3B24"/>
    <w:rsid w:val="001B6C73"/>
    <w:rsid w:val="001B6E40"/>
    <w:rsid w:val="001C0F98"/>
    <w:rsid w:val="001C2A42"/>
    <w:rsid w:val="001C41FA"/>
    <w:rsid w:val="001C5730"/>
    <w:rsid w:val="001C6E58"/>
    <w:rsid w:val="001D424F"/>
    <w:rsid w:val="001D63ED"/>
    <w:rsid w:val="001D6EC0"/>
    <w:rsid w:val="001D7348"/>
    <w:rsid w:val="001E035B"/>
    <w:rsid w:val="001E0961"/>
    <w:rsid w:val="001E13EA"/>
    <w:rsid w:val="001E18DF"/>
    <w:rsid w:val="001E3EAE"/>
    <w:rsid w:val="001E6F32"/>
    <w:rsid w:val="001F2145"/>
    <w:rsid w:val="001F4E43"/>
    <w:rsid w:val="001F6262"/>
    <w:rsid w:val="001F67B0"/>
    <w:rsid w:val="001F7B3D"/>
    <w:rsid w:val="002022CB"/>
    <w:rsid w:val="0020397A"/>
    <w:rsid w:val="00205F9F"/>
    <w:rsid w:val="00210338"/>
    <w:rsid w:val="002108E7"/>
    <w:rsid w:val="002115FC"/>
    <w:rsid w:val="00211D5A"/>
    <w:rsid w:val="0021423C"/>
    <w:rsid w:val="00223029"/>
    <w:rsid w:val="00225945"/>
    <w:rsid w:val="00230D00"/>
    <w:rsid w:val="00231CB0"/>
    <w:rsid w:val="00231DF7"/>
    <w:rsid w:val="00231FD1"/>
    <w:rsid w:val="00232ED9"/>
    <w:rsid w:val="0023361F"/>
    <w:rsid w:val="002339E0"/>
    <w:rsid w:val="00233CF8"/>
    <w:rsid w:val="0023575D"/>
    <w:rsid w:val="00237148"/>
    <w:rsid w:val="0024158F"/>
    <w:rsid w:val="0024222D"/>
    <w:rsid w:val="00244B0E"/>
    <w:rsid w:val="00244F6C"/>
    <w:rsid w:val="0024587E"/>
    <w:rsid w:val="00245947"/>
    <w:rsid w:val="0024730E"/>
    <w:rsid w:val="00252A27"/>
    <w:rsid w:val="002532C5"/>
    <w:rsid w:val="0025575A"/>
    <w:rsid w:val="00260C03"/>
    <w:rsid w:val="00262052"/>
    <w:rsid w:val="002634E6"/>
    <w:rsid w:val="0026540E"/>
    <w:rsid w:val="00275123"/>
    <w:rsid w:val="00275534"/>
    <w:rsid w:val="0028024E"/>
    <w:rsid w:val="00281859"/>
    <w:rsid w:val="00282240"/>
    <w:rsid w:val="00283E40"/>
    <w:rsid w:val="00291379"/>
    <w:rsid w:val="00293423"/>
    <w:rsid w:val="002939EB"/>
    <w:rsid w:val="00293B3F"/>
    <w:rsid w:val="002948AD"/>
    <w:rsid w:val="00295F4F"/>
    <w:rsid w:val="00297906"/>
    <w:rsid w:val="002A01CC"/>
    <w:rsid w:val="002A0D48"/>
    <w:rsid w:val="002A61B1"/>
    <w:rsid w:val="002A663C"/>
    <w:rsid w:val="002B0853"/>
    <w:rsid w:val="002B4445"/>
    <w:rsid w:val="002B444B"/>
    <w:rsid w:val="002B4545"/>
    <w:rsid w:val="002B5887"/>
    <w:rsid w:val="002B5CC7"/>
    <w:rsid w:val="002C093E"/>
    <w:rsid w:val="002C0E27"/>
    <w:rsid w:val="002C3040"/>
    <w:rsid w:val="002C3A37"/>
    <w:rsid w:val="002C62C1"/>
    <w:rsid w:val="002D022D"/>
    <w:rsid w:val="002D22F6"/>
    <w:rsid w:val="002D23B6"/>
    <w:rsid w:val="002D24BB"/>
    <w:rsid w:val="002D3F11"/>
    <w:rsid w:val="002E02CB"/>
    <w:rsid w:val="002E2A02"/>
    <w:rsid w:val="002E6C63"/>
    <w:rsid w:val="002E7E89"/>
    <w:rsid w:val="002F2AF7"/>
    <w:rsid w:val="002F7E1C"/>
    <w:rsid w:val="00301A75"/>
    <w:rsid w:val="00302F70"/>
    <w:rsid w:val="0030336F"/>
    <w:rsid w:val="0030375E"/>
    <w:rsid w:val="00304742"/>
    <w:rsid w:val="00306D0D"/>
    <w:rsid w:val="00312A30"/>
    <w:rsid w:val="003151ED"/>
    <w:rsid w:val="00315EE5"/>
    <w:rsid w:val="00320F72"/>
    <w:rsid w:val="0032463E"/>
    <w:rsid w:val="00324835"/>
    <w:rsid w:val="00324FBE"/>
    <w:rsid w:val="00326224"/>
    <w:rsid w:val="00337EE4"/>
    <w:rsid w:val="00340FFD"/>
    <w:rsid w:val="00346F17"/>
    <w:rsid w:val="003506B1"/>
    <w:rsid w:val="0035081B"/>
    <w:rsid w:val="00350E20"/>
    <w:rsid w:val="00354F8C"/>
    <w:rsid w:val="00356AC7"/>
    <w:rsid w:val="003573AB"/>
    <w:rsid w:val="003609FA"/>
    <w:rsid w:val="003629E0"/>
    <w:rsid w:val="00362D8D"/>
    <w:rsid w:val="00365161"/>
    <w:rsid w:val="00365BD2"/>
    <w:rsid w:val="003710C8"/>
    <w:rsid w:val="00372E21"/>
    <w:rsid w:val="00373BA8"/>
    <w:rsid w:val="003750BE"/>
    <w:rsid w:val="0038685B"/>
    <w:rsid w:val="00387B9D"/>
    <w:rsid w:val="003904F9"/>
    <w:rsid w:val="00390E3B"/>
    <w:rsid w:val="0039364F"/>
    <w:rsid w:val="00396686"/>
    <w:rsid w:val="0039778E"/>
    <w:rsid w:val="003979E9"/>
    <w:rsid w:val="003A0641"/>
    <w:rsid w:val="003B022C"/>
    <w:rsid w:val="003B049C"/>
    <w:rsid w:val="003B2814"/>
    <w:rsid w:val="003B4941"/>
    <w:rsid w:val="003B4BB8"/>
    <w:rsid w:val="003B4EBE"/>
    <w:rsid w:val="003B72CD"/>
    <w:rsid w:val="003C2FAB"/>
    <w:rsid w:val="003C5714"/>
    <w:rsid w:val="003C6038"/>
    <w:rsid w:val="003C6B9F"/>
    <w:rsid w:val="003C6E2A"/>
    <w:rsid w:val="003D0299"/>
    <w:rsid w:val="003D14BA"/>
    <w:rsid w:val="003D2D41"/>
    <w:rsid w:val="003D443C"/>
    <w:rsid w:val="003D44CC"/>
    <w:rsid w:val="003D5302"/>
    <w:rsid w:val="003E4941"/>
    <w:rsid w:val="003E5676"/>
    <w:rsid w:val="003E6D80"/>
    <w:rsid w:val="003F05FA"/>
    <w:rsid w:val="003F19F5"/>
    <w:rsid w:val="003F244A"/>
    <w:rsid w:val="003F30B8"/>
    <w:rsid w:val="003F4C45"/>
    <w:rsid w:val="003F5F7B"/>
    <w:rsid w:val="003F60A4"/>
    <w:rsid w:val="003F7D64"/>
    <w:rsid w:val="00413624"/>
    <w:rsid w:val="00414300"/>
    <w:rsid w:val="004147EA"/>
    <w:rsid w:val="0042043E"/>
    <w:rsid w:val="004206E2"/>
    <w:rsid w:val="00421CED"/>
    <w:rsid w:val="00425C67"/>
    <w:rsid w:val="00426322"/>
    <w:rsid w:val="00427E7A"/>
    <w:rsid w:val="00430F1D"/>
    <w:rsid w:val="00434EC4"/>
    <w:rsid w:val="00436C49"/>
    <w:rsid w:val="00437813"/>
    <w:rsid w:val="0044099C"/>
    <w:rsid w:val="00445366"/>
    <w:rsid w:val="00447F5B"/>
    <w:rsid w:val="0045067D"/>
    <w:rsid w:val="00461DB0"/>
    <w:rsid w:val="00463926"/>
    <w:rsid w:val="00464C9A"/>
    <w:rsid w:val="00472F30"/>
    <w:rsid w:val="004741F5"/>
    <w:rsid w:val="00474F3D"/>
    <w:rsid w:val="0047555E"/>
    <w:rsid w:val="00477E3A"/>
    <w:rsid w:val="004817E1"/>
    <w:rsid w:val="00483E5F"/>
    <w:rsid w:val="00485FF9"/>
    <w:rsid w:val="004907F0"/>
    <w:rsid w:val="0049140B"/>
    <w:rsid w:val="004923A5"/>
    <w:rsid w:val="00496BFB"/>
    <w:rsid w:val="004A0275"/>
    <w:rsid w:val="004A15C7"/>
    <w:rsid w:val="004A7D1C"/>
    <w:rsid w:val="004B013B"/>
    <w:rsid w:val="004B0396"/>
    <w:rsid w:val="004B0AB9"/>
    <w:rsid w:val="004B112B"/>
    <w:rsid w:val="004B72A6"/>
    <w:rsid w:val="004C01E4"/>
    <w:rsid w:val="004C086C"/>
    <w:rsid w:val="004C1F56"/>
    <w:rsid w:val="004C27BC"/>
    <w:rsid w:val="004C50A0"/>
    <w:rsid w:val="004C692A"/>
    <w:rsid w:val="004D15F3"/>
    <w:rsid w:val="004D1E1A"/>
    <w:rsid w:val="004D5311"/>
    <w:rsid w:val="004D5DCC"/>
    <w:rsid w:val="004D68BE"/>
    <w:rsid w:val="004E2ECA"/>
    <w:rsid w:val="004E5A32"/>
    <w:rsid w:val="004F10AF"/>
    <w:rsid w:val="004F11A4"/>
    <w:rsid w:val="004F17BB"/>
    <w:rsid w:val="004F2389"/>
    <w:rsid w:val="004F2979"/>
    <w:rsid w:val="004F304D"/>
    <w:rsid w:val="004F5B68"/>
    <w:rsid w:val="004F61BE"/>
    <w:rsid w:val="004F66B1"/>
    <w:rsid w:val="004F7831"/>
    <w:rsid w:val="00501B65"/>
    <w:rsid w:val="00502871"/>
    <w:rsid w:val="005057A2"/>
    <w:rsid w:val="00511C07"/>
    <w:rsid w:val="005155CC"/>
    <w:rsid w:val="0051585C"/>
    <w:rsid w:val="00515FDC"/>
    <w:rsid w:val="005173A6"/>
    <w:rsid w:val="00520BAA"/>
    <w:rsid w:val="005216B2"/>
    <w:rsid w:val="00525208"/>
    <w:rsid w:val="005257A5"/>
    <w:rsid w:val="005264C0"/>
    <w:rsid w:val="00526A8A"/>
    <w:rsid w:val="00531DF2"/>
    <w:rsid w:val="00533B3B"/>
    <w:rsid w:val="00543ED4"/>
    <w:rsid w:val="005442EE"/>
    <w:rsid w:val="00547353"/>
    <w:rsid w:val="005474E7"/>
    <w:rsid w:val="00547CAF"/>
    <w:rsid w:val="005512A3"/>
    <w:rsid w:val="00555FC2"/>
    <w:rsid w:val="005578CE"/>
    <w:rsid w:val="005607C7"/>
    <w:rsid w:val="00562781"/>
    <w:rsid w:val="00563D6B"/>
    <w:rsid w:val="0056570A"/>
    <w:rsid w:val="00567A33"/>
    <w:rsid w:val="0057271C"/>
    <w:rsid w:val="00572845"/>
    <w:rsid w:val="00574C83"/>
    <w:rsid w:val="0058066B"/>
    <w:rsid w:val="005817C6"/>
    <w:rsid w:val="00584945"/>
    <w:rsid w:val="005865B9"/>
    <w:rsid w:val="00586ADF"/>
    <w:rsid w:val="005917DF"/>
    <w:rsid w:val="00592772"/>
    <w:rsid w:val="0059574A"/>
    <w:rsid w:val="00596468"/>
    <w:rsid w:val="005A02CB"/>
    <w:rsid w:val="005A1B9B"/>
    <w:rsid w:val="005A2C41"/>
    <w:rsid w:val="005A62A0"/>
    <w:rsid w:val="005A6751"/>
    <w:rsid w:val="005A6B93"/>
    <w:rsid w:val="005B092E"/>
    <w:rsid w:val="005B152C"/>
    <w:rsid w:val="005B1EE0"/>
    <w:rsid w:val="005B2B24"/>
    <w:rsid w:val="005B34E8"/>
    <w:rsid w:val="005B4425"/>
    <w:rsid w:val="005B4B94"/>
    <w:rsid w:val="005B7AB3"/>
    <w:rsid w:val="005C05F1"/>
    <w:rsid w:val="005C0AE6"/>
    <w:rsid w:val="005C3183"/>
    <w:rsid w:val="005C3EE8"/>
    <w:rsid w:val="005D1B7D"/>
    <w:rsid w:val="005D34F9"/>
    <w:rsid w:val="005D4190"/>
    <w:rsid w:val="005D67A3"/>
    <w:rsid w:val="005E1B72"/>
    <w:rsid w:val="005E2988"/>
    <w:rsid w:val="005E3085"/>
    <w:rsid w:val="005E37C6"/>
    <w:rsid w:val="005E6ED3"/>
    <w:rsid w:val="005F28B3"/>
    <w:rsid w:val="005F2FF4"/>
    <w:rsid w:val="005F51E1"/>
    <w:rsid w:val="005F5273"/>
    <w:rsid w:val="005F5D97"/>
    <w:rsid w:val="00610B21"/>
    <w:rsid w:val="00611C80"/>
    <w:rsid w:val="00620692"/>
    <w:rsid w:val="00623473"/>
    <w:rsid w:val="006242CA"/>
    <w:rsid w:val="00627507"/>
    <w:rsid w:val="006316D3"/>
    <w:rsid w:val="00633717"/>
    <w:rsid w:val="006344E1"/>
    <w:rsid w:val="00636DC9"/>
    <w:rsid w:val="00643B31"/>
    <w:rsid w:val="00644E56"/>
    <w:rsid w:val="0065298D"/>
    <w:rsid w:val="006545C4"/>
    <w:rsid w:val="0065595C"/>
    <w:rsid w:val="006604A6"/>
    <w:rsid w:val="00661971"/>
    <w:rsid w:val="00661CE8"/>
    <w:rsid w:val="00661E02"/>
    <w:rsid w:val="006623D9"/>
    <w:rsid w:val="0066256F"/>
    <w:rsid w:val="00665160"/>
    <w:rsid w:val="0066550C"/>
    <w:rsid w:val="00666066"/>
    <w:rsid w:val="00667B26"/>
    <w:rsid w:val="006716F2"/>
    <w:rsid w:val="00671EE1"/>
    <w:rsid w:val="00672713"/>
    <w:rsid w:val="00675ADF"/>
    <w:rsid w:val="0067770B"/>
    <w:rsid w:val="00682BF2"/>
    <w:rsid w:val="006859CE"/>
    <w:rsid w:val="00691270"/>
    <w:rsid w:val="00694A2E"/>
    <w:rsid w:val="00694BA8"/>
    <w:rsid w:val="006A037C"/>
    <w:rsid w:val="006A0471"/>
    <w:rsid w:val="006A3060"/>
    <w:rsid w:val="006A36F4"/>
    <w:rsid w:val="006A406F"/>
    <w:rsid w:val="006A5D3A"/>
    <w:rsid w:val="006B10BB"/>
    <w:rsid w:val="006B2574"/>
    <w:rsid w:val="006C11B8"/>
    <w:rsid w:val="006C1BCB"/>
    <w:rsid w:val="006C23D4"/>
    <w:rsid w:val="006C37C7"/>
    <w:rsid w:val="006C64BE"/>
    <w:rsid w:val="006C7BB0"/>
    <w:rsid w:val="006D3237"/>
    <w:rsid w:val="006E2E37"/>
    <w:rsid w:val="006E3CF1"/>
    <w:rsid w:val="006E7E80"/>
    <w:rsid w:val="006F48CA"/>
    <w:rsid w:val="006F64DD"/>
    <w:rsid w:val="00710171"/>
    <w:rsid w:val="00710547"/>
    <w:rsid w:val="00711B9F"/>
    <w:rsid w:val="00715127"/>
    <w:rsid w:val="00715E8E"/>
    <w:rsid w:val="00723580"/>
    <w:rsid w:val="00723755"/>
    <w:rsid w:val="0072708E"/>
    <w:rsid w:val="0073136C"/>
    <w:rsid w:val="00731F0F"/>
    <w:rsid w:val="007327AE"/>
    <w:rsid w:val="00733250"/>
    <w:rsid w:val="00735CDF"/>
    <w:rsid w:val="00741404"/>
    <w:rsid w:val="007449E5"/>
    <w:rsid w:val="007453FF"/>
    <w:rsid w:val="00747FF0"/>
    <w:rsid w:val="00750061"/>
    <w:rsid w:val="00750765"/>
    <w:rsid w:val="00756130"/>
    <w:rsid w:val="00764D4E"/>
    <w:rsid w:val="00765A1F"/>
    <w:rsid w:val="00775B6D"/>
    <w:rsid w:val="007769FC"/>
    <w:rsid w:val="00776D68"/>
    <w:rsid w:val="0078095E"/>
    <w:rsid w:val="00780B4C"/>
    <w:rsid w:val="00784907"/>
    <w:rsid w:val="007850EE"/>
    <w:rsid w:val="00785B95"/>
    <w:rsid w:val="00785BC0"/>
    <w:rsid w:val="0079047E"/>
    <w:rsid w:val="00790E96"/>
    <w:rsid w:val="00791649"/>
    <w:rsid w:val="00793366"/>
    <w:rsid w:val="00794961"/>
    <w:rsid w:val="007952DA"/>
    <w:rsid w:val="00796B7B"/>
    <w:rsid w:val="007A2DE0"/>
    <w:rsid w:val="007A3871"/>
    <w:rsid w:val="007A716F"/>
    <w:rsid w:val="007B270A"/>
    <w:rsid w:val="007B4B56"/>
    <w:rsid w:val="007C0102"/>
    <w:rsid w:val="007C0249"/>
    <w:rsid w:val="007C0695"/>
    <w:rsid w:val="007C419A"/>
    <w:rsid w:val="007C438F"/>
    <w:rsid w:val="007C4AA3"/>
    <w:rsid w:val="007C4CC8"/>
    <w:rsid w:val="007C4D71"/>
    <w:rsid w:val="007C5426"/>
    <w:rsid w:val="007C5798"/>
    <w:rsid w:val="007D1193"/>
    <w:rsid w:val="007D1A3A"/>
    <w:rsid w:val="007D4832"/>
    <w:rsid w:val="007D50CE"/>
    <w:rsid w:val="007E21B2"/>
    <w:rsid w:val="007E2C4E"/>
    <w:rsid w:val="007E3ED4"/>
    <w:rsid w:val="007E48C2"/>
    <w:rsid w:val="007F1905"/>
    <w:rsid w:val="007F1FF8"/>
    <w:rsid w:val="00801300"/>
    <w:rsid w:val="00802C64"/>
    <w:rsid w:val="0080394A"/>
    <w:rsid w:val="00803B5D"/>
    <w:rsid w:val="00805E52"/>
    <w:rsid w:val="008061D0"/>
    <w:rsid w:val="0081035A"/>
    <w:rsid w:val="00810B38"/>
    <w:rsid w:val="0081254D"/>
    <w:rsid w:val="0081765E"/>
    <w:rsid w:val="008204C7"/>
    <w:rsid w:val="00820992"/>
    <w:rsid w:val="00822214"/>
    <w:rsid w:val="00822487"/>
    <w:rsid w:val="00823602"/>
    <w:rsid w:val="008255F5"/>
    <w:rsid w:val="0082596D"/>
    <w:rsid w:val="0083014E"/>
    <w:rsid w:val="0083214A"/>
    <w:rsid w:val="0083289B"/>
    <w:rsid w:val="00834220"/>
    <w:rsid w:val="00834E43"/>
    <w:rsid w:val="0084351A"/>
    <w:rsid w:val="00845723"/>
    <w:rsid w:val="00851EF9"/>
    <w:rsid w:val="00852BF1"/>
    <w:rsid w:val="008577FD"/>
    <w:rsid w:val="00860B03"/>
    <w:rsid w:val="00863348"/>
    <w:rsid w:val="0086497A"/>
    <w:rsid w:val="008655A3"/>
    <w:rsid w:val="008713A1"/>
    <w:rsid w:val="00873CF5"/>
    <w:rsid w:val="008754AB"/>
    <w:rsid w:val="00875AB3"/>
    <w:rsid w:val="0088060C"/>
    <w:rsid w:val="008861C3"/>
    <w:rsid w:val="008861F6"/>
    <w:rsid w:val="00886456"/>
    <w:rsid w:val="00893576"/>
    <w:rsid w:val="00893E73"/>
    <w:rsid w:val="00895DDE"/>
    <w:rsid w:val="008B02DC"/>
    <w:rsid w:val="008B0ED0"/>
    <w:rsid w:val="008B57CE"/>
    <w:rsid w:val="008B5D74"/>
    <w:rsid w:val="008B7161"/>
    <w:rsid w:val="008C200E"/>
    <w:rsid w:val="008C26DE"/>
    <w:rsid w:val="008C3305"/>
    <w:rsid w:val="008D2225"/>
    <w:rsid w:val="008D256E"/>
    <w:rsid w:val="008D4752"/>
    <w:rsid w:val="008D7298"/>
    <w:rsid w:val="008E271C"/>
    <w:rsid w:val="008E418E"/>
    <w:rsid w:val="008E5BC6"/>
    <w:rsid w:val="008E6717"/>
    <w:rsid w:val="008E6A25"/>
    <w:rsid w:val="008F5193"/>
    <w:rsid w:val="009013A7"/>
    <w:rsid w:val="009015F9"/>
    <w:rsid w:val="009017FB"/>
    <w:rsid w:val="009017FC"/>
    <w:rsid w:val="00902101"/>
    <w:rsid w:val="0090506B"/>
    <w:rsid w:val="009050C9"/>
    <w:rsid w:val="009066FC"/>
    <w:rsid w:val="00906E35"/>
    <w:rsid w:val="009140A3"/>
    <w:rsid w:val="009144A2"/>
    <w:rsid w:val="0091510C"/>
    <w:rsid w:val="00916C64"/>
    <w:rsid w:val="009259AC"/>
    <w:rsid w:val="00925C39"/>
    <w:rsid w:val="00926AD5"/>
    <w:rsid w:val="00926F38"/>
    <w:rsid w:val="00934301"/>
    <w:rsid w:val="00936C2D"/>
    <w:rsid w:val="00936CD1"/>
    <w:rsid w:val="00941747"/>
    <w:rsid w:val="00941EFB"/>
    <w:rsid w:val="009469EF"/>
    <w:rsid w:val="00946AA2"/>
    <w:rsid w:val="00947AFB"/>
    <w:rsid w:val="00950979"/>
    <w:rsid w:val="00951D7D"/>
    <w:rsid w:val="00955DF0"/>
    <w:rsid w:val="0095696C"/>
    <w:rsid w:val="009630C7"/>
    <w:rsid w:val="00970C88"/>
    <w:rsid w:val="0097225F"/>
    <w:rsid w:val="00972B55"/>
    <w:rsid w:val="0097314C"/>
    <w:rsid w:val="009743B7"/>
    <w:rsid w:val="0098228B"/>
    <w:rsid w:val="009828DA"/>
    <w:rsid w:val="00985BAB"/>
    <w:rsid w:val="00986D54"/>
    <w:rsid w:val="00995BCF"/>
    <w:rsid w:val="009A4621"/>
    <w:rsid w:val="009A6459"/>
    <w:rsid w:val="009B0886"/>
    <w:rsid w:val="009B1B5F"/>
    <w:rsid w:val="009B3A0B"/>
    <w:rsid w:val="009B3C26"/>
    <w:rsid w:val="009B6673"/>
    <w:rsid w:val="009B6C16"/>
    <w:rsid w:val="009B7D1F"/>
    <w:rsid w:val="009C191B"/>
    <w:rsid w:val="009C2BD6"/>
    <w:rsid w:val="009C4CE7"/>
    <w:rsid w:val="009D4A8F"/>
    <w:rsid w:val="009E1874"/>
    <w:rsid w:val="009E1F32"/>
    <w:rsid w:val="009E35B4"/>
    <w:rsid w:val="009E4296"/>
    <w:rsid w:val="009E4B9B"/>
    <w:rsid w:val="009E687C"/>
    <w:rsid w:val="009E776C"/>
    <w:rsid w:val="009F24E4"/>
    <w:rsid w:val="00A00144"/>
    <w:rsid w:val="00A1634C"/>
    <w:rsid w:val="00A1726E"/>
    <w:rsid w:val="00A203C4"/>
    <w:rsid w:val="00A204CF"/>
    <w:rsid w:val="00A222A5"/>
    <w:rsid w:val="00A232BA"/>
    <w:rsid w:val="00A23D49"/>
    <w:rsid w:val="00A25A9F"/>
    <w:rsid w:val="00A25D09"/>
    <w:rsid w:val="00A27004"/>
    <w:rsid w:val="00A30C29"/>
    <w:rsid w:val="00A310FA"/>
    <w:rsid w:val="00A32B20"/>
    <w:rsid w:val="00A32E1C"/>
    <w:rsid w:val="00A33513"/>
    <w:rsid w:val="00A34DD6"/>
    <w:rsid w:val="00A36819"/>
    <w:rsid w:val="00A36989"/>
    <w:rsid w:val="00A43308"/>
    <w:rsid w:val="00A43628"/>
    <w:rsid w:val="00A436AD"/>
    <w:rsid w:val="00A50CF4"/>
    <w:rsid w:val="00A513FF"/>
    <w:rsid w:val="00A54192"/>
    <w:rsid w:val="00A550FB"/>
    <w:rsid w:val="00A55EBE"/>
    <w:rsid w:val="00A5716C"/>
    <w:rsid w:val="00A6035E"/>
    <w:rsid w:val="00A6144C"/>
    <w:rsid w:val="00A65345"/>
    <w:rsid w:val="00A66617"/>
    <w:rsid w:val="00A66BCC"/>
    <w:rsid w:val="00A671F8"/>
    <w:rsid w:val="00A673A4"/>
    <w:rsid w:val="00A67531"/>
    <w:rsid w:val="00A724AE"/>
    <w:rsid w:val="00A72738"/>
    <w:rsid w:val="00A73329"/>
    <w:rsid w:val="00A74B09"/>
    <w:rsid w:val="00A74BC1"/>
    <w:rsid w:val="00A7697F"/>
    <w:rsid w:val="00A82359"/>
    <w:rsid w:val="00A865D2"/>
    <w:rsid w:val="00A94C20"/>
    <w:rsid w:val="00AA227F"/>
    <w:rsid w:val="00AA2AEF"/>
    <w:rsid w:val="00AA3BC7"/>
    <w:rsid w:val="00AA754A"/>
    <w:rsid w:val="00AB099E"/>
    <w:rsid w:val="00AB0CAF"/>
    <w:rsid w:val="00AB344D"/>
    <w:rsid w:val="00AB4328"/>
    <w:rsid w:val="00AC081C"/>
    <w:rsid w:val="00AC0824"/>
    <w:rsid w:val="00AC4EBF"/>
    <w:rsid w:val="00AC5884"/>
    <w:rsid w:val="00AD412E"/>
    <w:rsid w:val="00AD5084"/>
    <w:rsid w:val="00AE0A2E"/>
    <w:rsid w:val="00AE148A"/>
    <w:rsid w:val="00AE1A68"/>
    <w:rsid w:val="00AE354C"/>
    <w:rsid w:val="00AE38D0"/>
    <w:rsid w:val="00AF0578"/>
    <w:rsid w:val="00AF4B07"/>
    <w:rsid w:val="00AF5CC8"/>
    <w:rsid w:val="00AF6186"/>
    <w:rsid w:val="00AF7A3A"/>
    <w:rsid w:val="00B04F64"/>
    <w:rsid w:val="00B106B1"/>
    <w:rsid w:val="00B11ABE"/>
    <w:rsid w:val="00B13C84"/>
    <w:rsid w:val="00B14D91"/>
    <w:rsid w:val="00B160DB"/>
    <w:rsid w:val="00B20836"/>
    <w:rsid w:val="00B21667"/>
    <w:rsid w:val="00B235BB"/>
    <w:rsid w:val="00B235E9"/>
    <w:rsid w:val="00B23ACC"/>
    <w:rsid w:val="00B25657"/>
    <w:rsid w:val="00B27A44"/>
    <w:rsid w:val="00B30BBF"/>
    <w:rsid w:val="00B33740"/>
    <w:rsid w:val="00B33C03"/>
    <w:rsid w:val="00B34F95"/>
    <w:rsid w:val="00B406F2"/>
    <w:rsid w:val="00B43918"/>
    <w:rsid w:val="00B44E56"/>
    <w:rsid w:val="00B46056"/>
    <w:rsid w:val="00B46543"/>
    <w:rsid w:val="00B47D33"/>
    <w:rsid w:val="00B52BE0"/>
    <w:rsid w:val="00B54133"/>
    <w:rsid w:val="00B55409"/>
    <w:rsid w:val="00B62567"/>
    <w:rsid w:val="00B631C8"/>
    <w:rsid w:val="00B64466"/>
    <w:rsid w:val="00B701ED"/>
    <w:rsid w:val="00B70B5B"/>
    <w:rsid w:val="00B741A5"/>
    <w:rsid w:val="00B8086C"/>
    <w:rsid w:val="00B81090"/>
    <w:rsid w:val="00B861B4"/>
    <w:rsid w:val="00B86DFE"/>
    <w:rsid w:val="00B90990"/>
    <w:rsid w:val="00B922FF"/>
    <w:rsid w:val="00B9281E"/>
    <w:rsid w:val="00B93925"/>
    <w:rsid w:val="00B93ECF"/>
    <w:rsid w:val="00B95187"/>
    <w:rsid w:val="00B96FB4"/>
    <w:rsid w:val="00B9776F"/>
    <w:rsid w:val="00BA0DBF"/>
    <w:rsid w:val="00BA2D55"/>
    <w:rsid w:val="00BA513D"/>
    <w:rsid w:val="00BA71B1"/>
    <w:rsid w:val="00BA780E"/>
    <w:rsid w:val="00BB0637"/>
    <w:rsid w:val="00BB2245"/>
    <w:rsid w:val="00BB2FDD"/>
    <w:rsid w:val="00BB345F"/>
    <w:rsid w:val="00BB4641"/>
    <w:rsid w:val="00BB68EA"/>
    <w:rsid w:val="00BB73CD"/>
    <w:rsid w:val="00BC14BC"/>
    <w:rsid w:val="00BC1C27"/>
    <w:rsid w:val="00BC2A9E"/>
    <w:rsid w:val="00BC2C5D"/>
    <w:rsid w:val="00BC34B7"/>
    <w:rsid w:val="00BC4A8F"/>
    <w:rsid w:val="00BC60A9"/>
    <w:rsid w:val="00BC6BBF"/>
    <w:rsid w:val="00BD042C"/>
    <w:rsid w:val="00BD1572"/>
    <w:rsid w:val="00BD36FA"/>
    <w:rsid w:val="00BD3B07"/>
    <w:rsid w:val="00BD50DA"/>
    <w:rsid w:val="00BD6159"/>
    <w:rsid w:val="00BE0EFF"/>
    <w:rsid w:val="00BE14E3"/>
    <w:rsid w:val="00BE3774"/>
    <w:rsid w:val="00BE41E5"/>
    <w:rsid w:val="00BE4322"/>
    <w:rsid w:val="00BE7457"/>
    <w:rsid w:val="00BF17EB"/>
    <w:rsid w:val="00BF1A59"/>
    <w:rsid w:val="00BF4109"/>
    <w:rsid w:val="00BF4CC3"/>
    <w:rsid w:val="00BF4E5C"/>
    <w:rsid w:val="00C051C3"/>
    <w:rsid w:val="00C054C7"/>
    <w:rsid w:val="00C057B5"/>
    <w:rsid w:val="00C06E15"/>
    <w:rsid w:val="00C1262B"/>
    <w:rsid w:val="00C1520E"/>
    <w:rsid w:val="00C1736C"/>
    <w:rsid w:val="00C22687"/>
    <w:rsid w:val="00C277E0"/>
    <w:rsid w:val="00C32E4D"/>
    <w:rsid w:val="00C333A0"/>
    <w:rsid w:val="00C36408"/>
    <w:rsid w:val="00C36A81"/>
    <w:rsid w:val="00C41974"/>
    <w:rsid w:val="00C471FF"/>
    <w:rsid w:val="00C52494"/>
    <w:rsid w:val="00C53F4A"/>
    <w:rsid w:val="00C54125"/>
    <w:rsid w:val="00C55B54"/>
    <w:rsid w:val="00C6098E"/>
    <w:rsid w:val="00C611D8"/>
    <w:rsid w:val="00C6152C"/>
    <w:rsid w:val="00C63990"/>
    <w:rsid w:val="00C64EF6"/>
    <w:rsid w:val="00C65050"/>
    <w:rsid w:val="00C73B58"/>
    <w:rsid w:val="00C74810"/>
    <w:rsid w:val="00C76D51"/>
    <w:rsid w:val="00C774EF"/>
    <w:rsid w:val="00C81BDC"/>
    <w:rsid w:val="00C82D1F"/>
    <w:rsid w:val="00C864B1"/>
    <w:rsid w:val="00C86A7E"/>
    <w:rsid w:val="00C90D68"/>
    <w:rsid w:val="00C939FE"/>
    <w:rsid w:val="00C93E5E"/>
    <w:rsid w:val="00C96AC7"/>
    <w:rsid w:val="00CA081C"/>
    <w:rsid w:val="00CA235E"/>
    <w:rsid w:val="00CA4BDA"/>
    <w:rsid w:val="00CA6410"/>
    <w:rsid w:val="00CB1F66"/>
    <w:rsid w:val="00CB2951"/>
    <w:rsid w:val="00CB752B"/>
    <w:rsid w:val="00CC3FE5"/>
    <w:rsid w:val="00CC612F"/>
    <w:rsid w:val="00CC699C"/>
    <w:rsid w:val="00CC6CC4"/>
    <w:rsid w:val="00CC71E6"/>
    <w:rsid w:val="00CD282B"/>
    <w:rsid w:val="00CD4C35"/>
    <w:rsid w:val="00CD7369"/>
    <w:rsid w:val="00CE0B0E"/>
    <w:rsid w:val="00CE3831"/>
    <w:rsid w:val="00CF001E"/>
    <w:rsid w:val="00CF04DE"/>
    <w:rsid w:val="00CF0F51"/>
    <w:rsid w:val="00CF525D"/>
    <w:rsid w:val="00D00264"/>
    <w:rsid w:val="00D00ABB"/>
    <w:rsid w:val="00D02EEC"/>
    <w:rsid w:val="00D03551"/>
    <w:rsid w:val="00D06A63"/>
    <w:rsid w:val="00D07E0E"/>
    <w:rsid w:val="00D11478"/>
    <w:rsid w:val="00D12932"/>
    <w:rsid w:val="00D15ED0"/>
    <w:rsid w:val="00D21B3E"/>
    <w:rsid w:val="00D21FED"/>
    <w:rsid w:val="00D239D5"/>
    <w:rsid w:val="00D24251"/>
    <w:rsid w:val="00D250D7"/>
    <w:rsid w:val="00D31065"/>
    <w:rsid w:val="00D3289A"/>
    <w:rsid w:val="00D343E2"/>
    <w:rsid w:val="00D361A2"/>
    <w:rsid w:val="00D36CEA"/>
    <w:rsid w:val="00D37C1F"/>
    <w:rsid w:val="00D42AFF"/>
    <w:rsid w:val="00D44C2E"/>
    <w:rsid w:val="00D45414"/>
    <w:rsid w:val="00D4706F"/>
    <w:rsid w:val="00D479CA"/>
    <w:rsid w:val="00D566BD"/>
    <w:rsid w:val="00D576CF"/>
    <w:rsid w:val="00D57A4D"/>
    <w:rsid w:val="00D60AA7"/>
    <w:rsid w:val="00D64239"/>
    <w:rsid w:val="00D6435F"/>
    <w:rsid w:val="00D66340"/>
    <w:rsid w:val="00D66C0F"/>
    <w:rsid w:val="00D75529"/>
    <w:rsid w:val="00D75E28"/>
    <w:rsid w:val="00D768BB"/>
    <w:rsid w:val="00D772C2"/>
    <w:rsid w:val="00D8008E"/>
    <w:rsid w:val="00D80301"/>
    <w:rsid w:val="00D82C45"/>
    <w:rsid w:val="00D908A8"/>
    <w:rsid w:val="00D944CA"/>
    <w:rsid w:val="00D94BB5"/>
    <w:rsid w:val="00D9523B"/>
    <w:rsid w:val="00D97555"/>
    <w:rsid w:val="00D977B6"/>
    <w:rsid w:val="00D97DF3"/>
    <w:rsid w:val="00DA190F"/>
    <w:rsid w:val="00DA213D"/>
    <w:rsid w:val="00DA4A31"/>
    <w:rsid w:val="00DA4DAC"/>
    <w:rsid w:val="00DA5839"/>
    <w:rsid w:val="00DA7B04"/>
    <w:rsid w:val="00DB36C2"/>
    <w:rsid w:val="00DB3F49"/>
    <w:rsid w:val="00DC169B"/>
    <w:rsid w:val="00DC2AB9"/>
    <w:rsid w:val="00DC3C0F"/>
    <w:rsid w:val="00DC483E"/>
    <w:rsid w:val="00DC63F0"/>
    <w:rsid w:val="00DC65D1"/>
    <w:rsid w:val="00DD4AAB"/>
    <w:rsid w:val="00DD5146"/>
    <w:rsid w:val="00DD5406"/>
    <w:rsid w:val="00DD6EE5"/>
    <w:rsid w:val="00DD7D10"/>
    <w:rsid w:val="00DE386C"/>
    <w:rsid w:val="00DE3BDB"/>
    <w:rsid w:val="00DE40E8"/>
    <w:rsid w:val="00DE4D35"/>
    <w:rsid w:val="00DE727E"/>
    <w:rsid w:val="00DF098B"/>
    <w:rsid w:val="00DF11C4"/>
    <w:rsid w:val="00DF1F06"/>
    <w:rsid w:val="00DF210C"/>
    <w:rsid w:val="00DF4826"/>
    <w:rsid w:val="00DF4B6A"/>
    <w:rsid w:val="00DF51A0"/>
    <w:rsid w:val="00E00444"/>
    <w:rsid w:val="00E01E65"/>
    <w:rsid w:val="00E02C09"/>
    <w:rsid w:val="00E04D59"/>
    <w:rsid w:val="00E07DA1"/>
    <w:rsid w:val="00E123CB"/>
    <w:rsid w:val="00E17B46"/>
    <w:rsid w:val="00E2086E"/>
    <w:rsid w:val="00E20E13"/>
    <w:rsid w:val="00E21B57"/>
    <w:rsid w:val="00E21DBC"/>
    <w:rsid w:val="00E237CA"/>
    <w:rsid w:val="00E24603"/>
    <w:rsid w:val="00E275D7"/>
    <w:rsid w:val="00E27DBE"/>
    <w:rsid w:val="00E316A9"/>
    <w:rsid w:val="00E32AB1"/>
    <w:rsid w:val="00E34EDF"/>
    <w:rsid w:val="00E36C71"/>
    <w:rsid w:val="00E40404"/>
    <w:rsid w:val="00E40595"/>
    <w:rsid w:val="00E41F98"/>
    <w:rsid w:val="00E4435B"/>
    <w:rsid w:val="00E4529A"/>
    <w:rsid w:val="00E459C6"/>
    <w:rsid w:val="00E47589"/>
    <w:rsid w:val="00E642AE"/>
    <w:rsid w:val="00E64603"/>
    <w:rsid w:val="00E64915"/>
    <w:rsid w:val="00E65D49"/>
    <w:rsid w:val="00E661D4"/>
    <w:rsid w:val="00E70091"/>
    <w:rsid w:val="00E720F5"/>
    <w:rsid w:val="00E752B5"/>
    <w:rsid w:val="00E76D47"/>
    <w:rsid w:val="00E77CB3"/>
    <w:rsid w:val="00E825A8"/>
    <w:rsid w:val="00E844D4"/>
    <w:rsid w:val="00E849F7"/>
    <w:rsid w:val="00E90302"/>
    <w:rsid w:val="00E90C16"/>
    <w:rsid w:val="00E94785"/>
    <w:rsid w:val="00E97396"/>
    <w:rsid w:val="00EA1339"/>
    <w:rsid w:val="00EA185E"/>
    <w:rsid w:val="00EA592A"/>
    <w:rsid w:val="00EA61EA"/>
    <w:rsid w:val="00EA6D7A"/>
    <w:rsid w:val="00EA70FD"/>
    <w:rsid w:val="00EB14E4"/>
    <w:rsid w:val="00EB32A5"/>
    <w:rsid w:val="00EB34ED"/>
    <w:rsid w:val="00EB7BE0"/>
    <w:rsid w:val="00EB7E63"/>
    <w:rsid w:val="00EC28BA"/>
    <w:rsid w:val="00EC315E"/>
    <w:rsid w:val="00EC750A"/>
    <w:rsid w:val="00ED077C"/>
    <w:rsid w:val="00ED1190"/>
    <w:rsid w:val="00ED284F"/>
    <w:rsid w:val="00ED2B5B"/>
    <w:rsid w:val="00ED6544"/>
    <w:rsid w:val="00EE0277"/>
    <w:rsid w:val="00EE3E00"/>
    <w:rsid w:val="00EE5DD2"/>
    <w:rsid w:val="00EF076A"/>
    <w:rsid w:val="00EF0A2E"/>
    <w:rsid w:val="00EF2D71"/>
    <w:rsid w:val="00EF63C2"/>
    <w:rsid w:val="00EF71C4"/>
    <w:rsid w:val="00F007B2"/>
    <w:rsid w:val="00F00A79"/>
    <w:rsid w:val="00F00DB4"/>
    <w:rsid w:val="00F00E86"/>
    <w:rsid w:val="00F01A78"/>
    <w:rsid w:val="00F01F31"/>
    <w:rsid w:val="00F04BC2"/>
    <w:rsid w:val="00F05E21"/>
    <w:rsid w:val="00F07C1E"/>
    <w:rsid w:val="00F105DB"/>
    <w:rsid w:val="00F111F8"/>
    <w:rsid w:val="00F132BC"/>
    <w:rsid w:val="00F13D80"/>
    <w:rsid w:val="00F16AAA"/>
    <w:rsid w:val="00F21161"/>
    <w:rsid w:val="00F2188D"/>
    <w:rsid w:val="00F218EF"/>
    <w:rsid w:val="00F21BC7"/>
    <w:rsid w:val="00F26381"/>
    <w:rsid w:val="00F266A2"/>
    <w:rsid w:val="00F26C46"/>
    <w:rsid w:val="00F32269"/>
    <w:rsid w:val="00F347CB"/>
    <w:rsid w:val="00F351B7"/>
    <w:rsid w:val="00F404E3"/>
    <w:rsid w:val="00F466A5"/>
    <w:rsid w:val="00F50726"/>
    <w:rsid w:val="00F520F8"/>
    <w:rsid w:val="00F56A6F"/>
    <w:rsid w:val="00F5709C"/>
    <w:rsid w:val="00F604EC"/>
    <w:rsid w:val="00F6289C"/>
    <w:rsid w:val="00F64EF1"/>
    <w:rsid w:val="00F65427"/>
    <w:rsid w:val="00F67609"/>
    <w:rsid w:val="00F83210"/>
    <w:rsid w:val="00F83D0C"/>
    <w:rsid w:val="00F8765F"/>
    <w:rsid w:val="00F90767"/>
    <w:rsid w:val="00F91636"/>
    <w:rsid w:val="00FA2F61"/>
    <w:rsid w:val="00FA685B"/>
    <w:rsid w:val="00FA7754"/>
    <w:rsid w:val="00FB0C01"/>
    <w:rsid w:val="00FB2B45"/>
    <w:rsid w:val="00FB751D"/>
    <w:rsid w:val="00FC18F2"/>
    <w:rsid w:val="00FC39E5"/>
    <w:rsid w:val="00FC3A78"/>
    <w:rsid w:val="00FC6378"/>
    <w:rsid w:val="00FD1005"/>
    <w:rsid w:val="00FD4728"/>
    <w:rsid w:val="00FD6C75"/>
    <w:rsid w:val="00FE4E5F"/>
    <w:rsid w:val="00FE5489"/>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C471FF"/>
    <w:pPr>
      <w:jc w:val="both"/>
    </w:pPr>
    <w:rPr>
      <w:rFonts w:eastAsiaTheme="minorEastAsia"/>
      <w:sz w:val="24"/>
    </w:rPr>
  </w:style>
  <w:style w:type="paragraph" w:styleId="Titolo1">
    <w:name w:val="heading 1"/>
    <w:basedOn w:val="Normale"/>
    <w:next w:val="Normale"/>
    <w:link w:val="Titolo1Carattere"/>
    <w:uiPriority w:val="99"/>
    <w:semiHidden/>
    <w:rsid w:val="00C471F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C471F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C471F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C471F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62D8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C471F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62D8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362D8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62D8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471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1FF"/>
    <w:rPr>
      <w:rFonts w:ascii="Tahoma" w:eastAsiaTheme="minorEastAsia" w:hAnsi="Tahoma" w:cs="Tahoma"/>
      <w:sz w:val="16"/>
      <w:szCs w:val="16"/>
    </w:rPr>
  </w:style>
  <w:style w:type="character" w:styleId="Titolodellibro">
    <w:name w:val="Book Title"/>
    <w:uiPriority w:val="99"/>
    <w:semiHidden/>
    <w:qFormat/>
    <w:rsid w:val="00362D8D"/>
    <w:rPr>
      <w:i/>
      <w:iCs/>
      <w:smallCaps/>
      <w:spacing w:val="5"/>
    </w:rPr>
  </w:style>
  <w:style w:type="paragraph" w:customStyle="1" w:styleId="ECHRHeader">
    <w:name w:val="ECHR_Header"/>
    <w:aliases w:val="Ju_Header"/>
    <w:basedOn w:val="Intestazione"/>
    <w:uiPriority w:val="4"/>
    <w:qFormat/>
    <w:rsid w:val="00362D8D"/>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Pidipagina"/>
    <w:uiPriority w:val="57"/>
    <w:semiHidden/>
    <w:rsid w:val="00C471FF"/>
    <w:pPr>
      <w:jc w:val="left"/>
    </w:pPr>
    <w:rPr>
      <w:sz w:val="8"/>
    </w:rPr>
  </w:style>
  <w:style w:type="character" w:styleId="Enfasigrassetto">
    <w:name w:val="Strong"/>
    <w:uiPriority w:val="99"/>
    <w:semiHidden/>
    <w:qFormat/>
    <w:rsid w:val="00362D8D"/>
    <w:rPr>
      <w:b/>
      <w:bCs/>
    </w:rPr>
  </w:style>
  <w:style w:type="paragraph" w:styleId="Nessunaspaziatura">
    <w:name w:val="No Spacing"/>
    <w:basedOn w:val="Normale"/>
    <w:link w:val="NessunaspaziaturaCarattere"/>
    <w:semiHidden/>
    <w:qFormat/>
    <w:rsid w:val="00362D8D"/>
    <w:rPr>
      <w:sz w:val="22"/>
    </w:rPr>
  </w:style>
  <w:style w:type="character" w:customStyle="1" w:styleId="NessunaspaziaturaCarattere">
    <w:name w:val="Nessuna spaziatura Carattere"/>
    <w:basedOn w:val="Carpredefinitoparagrafo"/>
    <w:link w:val="Nessunaspaziatura"/>
    <w:semiHidden/>
    <w:rsid w:val="00362D8D"/>
    <w:rPr>
      <w:rFonts w:eastAsiaTheme="minorEastAsia"/>
    </w:rPr>
  </w:style>
  <w:style w:type="paragraph" w:customStyle="1" w:styleId="ECHRFooterLine">
    <w:name w:val="ECHR_Footer_Line"/>
    <w:aliases w:val="Footer_Line"/>
    <w:basedOn w:val="Normale"/>
    <w:next w:val="ECHRFooter"/>
    <w:uiPriority w:val="57"/>
    <w:semiHidden/>
    <w:rsid w:val="00C471F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362D8D"/>
    <w:pPr>
      <w:numPr>
        <w:numId w:val="16"/>
      </w:numPr>
      <w:jc w:val="left"/>
    </w:pPr>
    <w:rPr>
      <w:b/>
      <w:lang w:val="en-GB"/>
    </w:rPr>
  </w:style>
  <w:style w:type="paragraph" w:customStyle="1" w:styleId="OpiPara">
    <w:name w:val="Opi_Para"/>
    <w:basedOn w:val="ECHRPara"/>
    <w:uiPriority w:val="46"/>
    <w:qFormat/>
    <w:rsid w:val="00362D8D"/>
  </w:style>
  <w:style w:type="paragraph" w:customStyle="1" w:styleId="JuParaSub">
    <w:name w:val="Ju_Para_Sub"/>
    <w:basedOn w:val="ECHRPara"/>
    <w:uiPriority w:val="13"/>
    <w:qFormat/>
    <w:rsid w:val="00362D8D"/>
    <w:pPr>
      <w:ind w:left="284"/>
    </w:pPr>
  </w:style>
  <w:style w:type="paragraph" w:customStyle="1" w:styleId="ECHRTitleCentre3">
    <w:name w:val="ECHR_Title_Centre_3"/>
    <w:aliases w:val="Ju_H_Article"/>
    <w:basedOn w:val="Normale"/>
    <w:next w:val="ECHRParaQuote"/>
    <w:uiPriority w:val="27"/>
    <w:qFormat/>
    <w:rsid w:val="00362D8D"/>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362D8D"/>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362D8D"/>
  </w:style>
  <w:style w:type="paragraph" w:customStyle="1" w:styleId="OpiQuot">
    <w:name w:val="Opi_Quot"/>
    <w:basedOn w:val="ECHRParaQuote"/>
    <w:uiPriority w:val="48"/>
    <w:qFormat/>
    <w:rsid w:val="00362D8D"/>
  </w:style>
  <w:style w:type="paragraph" w:customStyle="1" w:styleId="OpiQuotSub">
    <w:name w:val="Opi_Quot_Sub"/>
    <w:basedOn w:val="JuQuotSub"/>
    <w:uiPriority w:val="49"/>
    <w:qFormat/>
    <w:rsid w:val="00362D8D"/>
  </w:style>
  <w:style w:type="paragraph" w:customStyle="1" w:styleId="ECHRTitleCentre2">
    <w:name w:val="ECHR_Title_Centre_2"/>
    <w:aliases w:val="Dec_H_Case"/>
    <w:basedOn w:val="Normale"/>
    <w:next w:val="ECHRPara"/>
    <w:uiPriority w:val="8"/>
    <w:qFormat/>
    <w:rsid w:val="00362D8D"/>
    <w:pPr>
      <w:spacing w:after="240"/>
      <w:jc w:val="center"/>
      <w:outlineLvl w:val="0"/>
    </w:pPr>
    <w:rPr>
      <w:rFonts w:asciiTheme="majorHAnsi" w:hAnsiTheme="majorHAnsi"/>
      <w:lang w:val="en-GB"/>
    </w:rPr>
  </w:style>
  <w:style w:type="paragraph" w:customStyle="1" w:styleId="JuTitle">
    <w:name w:val="Ju_Title"/>
    <w:basedOn w:val="Normale"/>
    <w:next w:val="ECHRPara"/>
    <w:uiPriority w:val="3"/>
    <w:semiHidden/>
    <w:qFormat/>
    <w:rsid w:val="00362D8D"/>
    <w:pPr>
      <w:spacing w:before="720" w:after="240"/>
      <w:jc w:val="center"/>
      <w:outlineLvl w:val="0"/>
    </w:pPr>
    <w:rPr>
      <w:rFonts w:asciiTheme="majorHAnsi" w:hAnsiTheme="majorHAnsi"/>
      <w:b/>
      <w:caps/>
      <w:lang w:val="en-GB"/>
    </w:rPr>
  </w:style>
  <w:style w:type="paragraph" w:styleId="Titolo">
    <w:name w:val="Title"/>
    <w:basedOn w:val="Normale"/>
    <w:next w:val="Normale"/>
    <w:link w:val="TitoloCarattere"/>
    <w:uiPriority w:val="99"/>
    <w:semiHidden/>
    <w:qFormat/>
    <w:rsid w:val="00362D8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62D8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362D8D"/>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Titolo4"/>
    <w:next w:val="ECHRPara"/>
    <w:link w:val="JuHaChar"/>
    <w:uiPriority w:val="22"/>
    <w:qFormat/>
    <w:rsid w:val="00362D8D"/>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362D8D"/>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362D8D"/>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362D8D"/>
    <w:pPr>
      <w:keepNext/>
      <w:keepLines/>
      <w:spacing w:before="240" w:after="120"/>
      <w:ind w:left="1236"/>
    </w:pPr>
    <w:rPr>
      <w:sz w:val="20"/>
      <w:lang w:val="en-GB"/>
    </w:rPr>
  </w:style>
  <w:style w:type="paragraph" w:customStyle="1" w:styleId="JuQuotSub">
    <w:name w:val="Ju_Quot_Sub"/>
    <w:basedOn w:val="ECHRParaQuote"/>
    <w:uiPriority w:val="15"/>
    <w:qFormat/>
    <w:rsid w:val="00362D8D"/>
    <w:pPr>
      <w:ind w:left="567"/>
    </w:pPr>
  </w:style>
  <w:style w:type="paragraph" w:customStyle="1" w:styleId="JuInitialled">
    <w:name w:val="Ju_Initialled"/>
    <w:basedOn w:val="Normale"/>
    <w:uiPriority w:val="31"/>
    <w:qFormat/>
    <w:rsid w:val="00362D8D"/>
    <w:pPr>
      <w:tabs>
        <w:tab w:val="center" w:pos="6407"/>
      </w:tabs>
      <w:spacing w:before="720"/>
      <w:jc w:val="right"/>
    </w:pPr>
    <w:rPr>
      <w:lang w:val="en-GB"/>
    </w:rPr>
  </w:style>
  <w:style w:type="paragraph" w:customStyle="1" w:styleId="OpiHA">
    <w:name w:val="Opi_H_A"/>
    <w:basedOn w:val="ECHRHeading1"/>
    <w:next w:val="OpiPara"/>
    <w:uiPriority w:val="41"/>
    <w:qFormat/>
    <w:rsid w:val="00362D8D"/>
    <w:pPr>
      <w:tabs>
        <w:tab w:val="clear" w:pos="357"/>
      </w:tabs>
      <w:outlineLvl w:val="1"/>
    </w:pPr>
    <w:rPr>
      <w:b/>
    </w:rPr>
  </w:style>
  <w:style w:type="paragraph" w:styleId="Intestazione">
    <w:name w:val="header"/>
    <w:basedOn w:val="Normale"/>
    <w:link w:val="IntestazioneCarattere"/>
    <w:uiPriority w:val="57"/>
    <w:semiHidden/>
    <w:rsid w:val="00C471F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C471FF"/>
    <w:rPr>
      <w:sz w:val="24"/>
    </w:rPr>
  </w:style>
  <w:style w:type="character" w:customStyle="1" w:styleId="Titolo1Carattere">
    <w:name w:val="Titolo 1 Carattere"/>
    <w:basedOn w:val="Carpredefinitoparagrafo"/>
    <w:link w:val="Titolo1"/>
    <w:uiPriority w:val="99"/>
    <w:semiHidden/>
    <w:rsid w:val="00C471F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link w:val="JuHIRomanChar"/>
    <w:uiPriority w:val="19"/>
    <w:qFormat/>
    <w:rsid w:val="00362D8D"/>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Head_2"/>
    <w:basedOn w:val="Titolo2"/>
    <w:next w:val="ECHRPara"/>
    <w:uiPriority w:val="20"/>
    <w:qFormat/>
    <w:rsid w:val="00362D8D"/>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C471FF"/>
    <w:rPr>
      <w:rFonts w:asciiTheme="majorHAnsi" w:eastAsiaTheme="majorEastAsia" w:hAnsiTheme="majorHAnsi" w:cstheme="majorBidi"/>
      <w:b/>
      <w:bCs/>
      <w:color w:val="4D4D4D"/>
      <w:sz w:val="26"/>
      <w:szCs w:val="26"/>
    </w:rPr>
  </w:style>
  <w:style w:type="character" w:customStyle="1" w:styleId="JUNAMES">
    <w:name w:val="JU_NAMES"/>
    <w:uiPriority w:val="17"/>
    <w:qFormat/>
    <w:rsid w:val="00362D8D"/>
    <w:rPr>
      <w:caps w:val="0"/>
      <w:smallCaps/>
    </w:rPr>
  </w:style>
  <w:style w:type="paragraph" w:customStyle="1" w:styleId="ECHRDecisionBody">
    <w:name w:val="ECHR_Decision_Body"/>
    <w:aliases w:val="Ju_Judges"/>
    <w:basedOn w:val="Normale"/>
    <w:uiPriority w:val="11"/>
    <w:qFormat/>
    <w:rsid w:val="00362D8D"/>
    <w:pPr>
      <w:tabs>
        <w:tab w:val="left" w:pos="567"/>
        <w:tab w:val="left" w:pos="1134"/>
      </w:tabs>
      <w:jc w:val="left"/>
    </w:pPr>
    <w:rPr>
      <w:lang w:val="en-GB"/>
    </w:rPr>
  </w:style>
  <w:style w:type="character" w:customStyle="1" w:styleId="Titolo3Carattere">
    <w:name w:val="Titolo 3 Carattere"/>
    <w:basedOn w:val="Carpredefinitoparagrafo"/>
    <w:link w:val="Titolo3"/>
    <w:uiPriority w:val="99"/>
    <w:semiHidden/>
    <w:rsid w:val="00C471FF"/>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362D8D"/>
    <w:pPr>
      <w:ind w:firstLine="284"/>
    </w:pPr>
    <w:rPr>
      <w:lang w:val="en-GB"/>
    </w:rPr>
  </w:style>
  <w:style w:type="character" w:customStyle="1" w:styleId="Titolo4Carattere">
    <w:name w:val="Titolo 4 Carattere"/>
    <w:basedOn w:val="Carpredefinitoparagrafo"/>
    <w:link w:val="Titolo4"/>
    <w:uiPriority w:val="99"/>
    <w:semiHidden/>
    <w:rsid w:val="00C471FF"/>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362D8D"/>
    <w:rPr>
      <w:rFonts w:asciiTheme="majorHAnsi" w:eastAsiaTheme="majorEastAsia" w:hAnsiTheme="majorHAnsi" w:cstheme="majorBidi"/>
      <w:b/>
      <w:bCs/>
      <w:color w:val="808080"/>
    </w:rPr>
  </w:style>
  <w:style w:type="character" w:styleId="Enfasidelicata">
    <w:name w:val="Subtle Emphasis"/>
    <w:uiPriority w:val="99"/>
    <w:semiHidden/>
    <w:qFormat/>
    <w:rsid w:val="00362D8D"/>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362D8D"/>
    <w:pPr>
      <w:keepNext/>
      <w:keepLines/>
      <w:spacing w:before="720" w:after="240"/>
      <w:outlineLvl w:val="0"/>
    </w:pPr>
    <w:rPr>
      <w:rFonts w:asciiTheme="majorHAnsi" w:hAnsiTheme="majorHAnsi"/>
      <w:sz w:val="28"/>
      <w:lang w:val="en-GB"/>
    </w:rPr>
  </w:style>
  <w:style w:type="character" w:styleId="Enfasicorsivo">
    <w:name w:val="Emphasis"/>
    <w:uiPriority w:val="99"/>
    <w:semiHidden/>
    <w:qFormat/>
    <w:rsid w:val="00362D8D"/>
    <w:rPr>
      <w:b/>
      <w:bCs/>
      <w:i/>
      <w:iCs/>
      <w:spacing w:val="10"/>
      <w:bdr w:val="none" w:sz="0" w:space="0" w:color="auto"/>
      <w:shd w:val="clear" w:color="auto" w:fill="auto"/>
    </w:rPr>
  </w:style>
  <w:style w:type="paragraph" w:styleId="Pidipagina">
    <w:name w:val="footer"/>
    <w:basedOn w:val="Normale"/>
    <w:link w:val="PidipaginaCarattere"/>
    <w:uiPriority w:val="57"/>
    <w:semiHidden/>
    <w:rsid w:val="00C471F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C471FF"/>
    <w:rPr>
      <w:sz w:val="24"/>
    </w:rPr>
  </w:style>
  <w:style w:type="character" w:styleId="Rimandonotaapidipagina">
    <w:name w:val="footnote reference"/>
    <w:basedOn w:val="Carpredefinitoparagrafo"/>
    <w:uiPriority w:val="99"/>
    <w:semiHidden/>
    <w:rsid w:val="00C471FF"/>
    <w:rPr>
      <w:vertAlign w:val="superscript"/>
    </w:rPr>
  </w:style>
  <w:style w:type="paragraph" w:styleId="Testonotaapidipagina">
    <w:name w:val="footnote text"/>
    <w:basedOn w:val="Normale"/>
    <w:link w:val="TestonotaapidipaginaCarattere"/>
    <w:uiPriority w:val="99"/>
    <w:semiHidden/>
    <w:rsid w:val="00C471FF"/>
    <w:rPr>
      <w:sz w:val="20"/>
      <w:szCs w:val="20"/>
    </w:rPr>
  </w:style>
  <w:style w:type="character" w:customStyle="1" w:styleId="TestonotaapidipaginaCarattere">
    <w:name w:val="Testo nota a piè di pagina Carattere"/>
    <w:basedOn w:val="Carpredefinitoparagrafo"/>
    <w:link w:val="Testonotaapidipagina"/>
    <w:uiPriority w:val="99"/>
    <w:semiHidden/>
    <w:rsid w:val="00C471FF"/>
    <w:rPr>
      <w:rFonts w:eastAsiaTheme="minorEastAsia"/>
      <w:sz w:val="20"/>
      <w:szCs w:val="20"/>
    </w:rPr>
  </w:style>
  <w:style w:type="character" w:customStyle="1" w:styleId="Titolo6Carattere">
    <w:name w:val="Titolo 6 Carattere"/>
    <w:basedOn w:val="Carpredefinitoparagrafo"/>
    <w:link w:val="Titolo6"/>
    <w:uiPriority w:val="99"/>
    <w:semiHidden/>
    <w:rsid w:val="00C471FF"/>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62D8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62D8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62D8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C471FF"/>
    <w:rPr>
      <w:color w:val="0072BC" w:themeColor="hyperlink"/>
      <w:u w:val="single"/>
    </w:rPr>
  </w:style>
  <w:style w:type="character" w:styleId="Enfasiintensa">
    <w:name w:val="Intense Emphasis"/>
    <w:uiPriority w:val="99"/>
    <w:semiHidden/>
    <w:qFormat/>
    <w:rsid w:val="00362D8D"/>
    <w:rPr>
      <w:b/>
      <w:bCs/>
    </w:rPr>
  </w:style>
  <w:style w:type="paragraph" w:styleId="Citazioneintensa">
    <w:name w:val="Intense Quote"/>
    <w:basedOn w:val="Normale"/>
    <w:next w:val="Normale"/>
    <w:link w:val="CitazioneintensaCarattere"/>
    <w:uiPriority w:val="99"/>
    <w:semiHidden/>
    <w:qFormat/>
    <w:rsid w:val="00362D8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362D8D"/>
    <w:rPr>
      <w:rFonts w:eastAsiaTheme="minorEastAsia"/>
      <w:b/>
      <w:bCs/>
      <w:i/>
      <w:iCs/>
      <w:lang w:bidi="en-US"/>
    </w:rPr>
  </w:style>
  <w:style w:type="character" w:styleId="Riferimentointenso">
    <w:name w:val="Intense Reference"/>
    <w:uiPriority w:val="99"/>
    <w:semiHidden/>
    <w:qFormat/>
    <w:rsid w:val="00362D8D"/>
    <w:rPr>
      <w:smallCaps/>
      <w:spacing w:val="5"/>
      <w:u w:val="single"/>
    </w:rPr>
  </w:style>
  <w:style w:type="paragraph" w:styleId="Paragrafoelenco">
    <w:name w:val="List Paragraph"/>
    <w:basedOn w:val="Normale"/>
    <w:uiPriority w:val="99"/>
    <w:semiHidden/>
    <w:qFormat/>
    <w:rsid w:val="00362D8D"/>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62D8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362D8D"/>
    <w:rPr>
      <w:rFonts w:eastAsiaTheme="minorEastAsia"/>
      <w:i/>
      <w:iCs/>
      <w:lang w:bidi="en-US"/>
    </w:rPr>
  </w:style>
  <w:style w:type="character" w:styleId="Riferimentodelicato">
    <w:name w:val="Subtle Reference"/>
    <w:uiPriority w:val="99"/>
    <w:semiHidden/>
    <w:qFormat/>
    <w:rsid w:val="00362D8D"/>
    <w:rPr>
      <w:smallCaps/>
    </w:rPr>
  </w:style>
  <w:style w:type="table" w:styleId="Grigliatabella">
    <w:name w:val="Table Grid"/>
    <w:basedOn w:val="Tabellanormale"/>
    <w:uiPriority w:val="59"/>
    <w:semiHidden/>
    <w:rsid w:val="00C471F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C471FF"/>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C471FF"/>
    <w:pPr>
      <w:spacing w:after="60"/>
      <w:ind w:left="680" w:right="340" w:hanging="340"/>
    </w:pPr>
  </w:style>
  <w:style w:type="paragraph" w:styleId="Sommario3">
    <w:name w:val="toc 3"/>
    <w:basedOn w:val="Normale"/>
    <w:next w:val="Normale"/>
    <w:autoRedefine/>
    <w:uiPriority w:val="99"/>
    <w:semiHidden/>
    <w:rsid w:val="00C471FF"/>
    <w:pPr>
      <w:spacing w:after="60"/>
      <w:ind w:left="1020" w:right="340" w:hanging="340"/>
    </w:pPr>
  </w:style>
  <w:style w:type="paragraph" w:styleId="Sommario4">
    <w:name w:val="toc 4"/>
    <w:basedOn w:val="Normale"/>
    <w:next w:val="Normale"/>
    <w:autoRedefine/>
    <w:uiPriority w:val="99"/>
    <w:semiHidden/>
    <w:rsid w:val="00C471FF"/>
    <w:pPr>
      <w:tabs>
        <w:tab w:val="right" w:leader="dot" w:pos="9017"/>
      </w:tabs>
      <w:spacing w:after="60"/>
      <w:ind w:left="1361" w:right="340" w:hanging="340"/>
    </w:pPr>
  </w:style>
  <w:style w:type="paragraph" w:styleId="Sommario5">
    <w:name w:val="toc 5"/>
    <w:basedOn w:val="Normale"/>
    <w:next w:val="Normale"/>
    <w:autoRedefine/>
    <w:uiPriority w:val="99"/>
    <w:semiHidden/>
    <w:rsid w:val="00C471FF"/>
    <w:pPr>
      <w:spacing w:after="60"/>
      <w:ind w:left="1701" w:right="340" w:hanging="340"/>
    </w:pPr>
  </w:style>
  <w:style w:type="paragraph" w:styleId="Titolosommario">
    <w:name w:val="TOC Heading"/>
    <w:basedOn w:val="Normale"/>
    <w:next w:val="Normale"/>
    <w:uiPriority w:val="99"/>
    <w:semiHidden/>
    <w:qFormat/>
    <w:rsid w:val="00362D8D"/>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471F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link w:val="JuQuotChar"/>
    <w:uiPriority w:val="14"/>
    <w:qFormat/>
    <w:rsid w:val="00362D8D"/>
    <w:pPr>
      <w:spacing w:before="120" w:after="120"/>
      <w:ind w:left="425" w:firstLine="142"/>
    </w:pPr>
    <w:rPr>
      <w:sz w:val="20"/>
      <w:lang w:val="en-GB"/>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471F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362D8D"/>
    <w:pPr>
      <w:tabs>
        <w:tab w:val="center" w:pos="851"/>
        <w:tab w:val="center" w:pos="6407"/>
      </w:tabs>
      <w:spacing w:before="720"/>
      <w:jc w:val="left"/>
    </w:pPr>
    <w:rPr>
      <w:lang w:val="en-GB"/>
    </w:rPr>
  </w:style>
  <w:style w:type="paragraph" w:customStyle="1" w:styleId="JuParaLast">
    <w:name w:val="Ju_Para_Last"/>
    <w:basedOn w:val="Normale"/>
    <w:next w:val="ECHRPara"/>
    <w:uiPriority w:val="30"/>
    <w:qFormat/>
    <w:rsid w:val="00362D8D"/>
    <w:pPr>
      <w:keepNext/>
      <w:keepLines/>
      <w:spacing w:before="240"/>
      <w:ind w:firstLine="284"/>
    </w:pPr>
    <w:rPr>
      <w:lang w:val="en-GB"/>
    </w:rPr>
  </w:style>
  <w:style w:type="paragraph" w:customStyle="1" w:styleId="JuCase">
    <w:name w:val="Ju_Case"/>
    <w:basedOn w:val="Normale"/>
    <w:next w:val="ECHRPara"/>
    <w:uiPriority w:val="10"/>
    <w:rsid w:val="00C471FF"/>
    <w:pPr>
      <w:ind w:firstLine="284"/>
    </w:pPr>
    <w:rPr>
      <w:b/>
    </w:rPr>
  </w:style>
  <w:style w:type="paragraph" w:customStyle="1" w:styleId="JuList">
    <w:name w:val="Ju_List"/>
    <w:basedOn w:val="Normale"/>
    <w:uiPriority w:val="28"/>
    <w:qFormat/>
    <w:rsid w:val="00362D8D"/>
    <w:pPr>
      <w:ind w:left="340" w:hanging="340"/>
    </w:pPr>
    <w:rPr>
      <w:lang w:val="en-GB"/>
    </w:rPr>
  </w:style>
  <w:style w:type="character" w:customStyle="1" w:styleId="JuITMark">
    <w:name w:val="Ju_ITMark"/>
    <w:basedOn w:val="Carpredefinitoparagrafo"/>
    <w:uiPriority w:val="38"/>
    <w:qFormat/>
    <w:rsid w:val="00362D8D"/>
    <w:rPr>
      <w:vanish w:val="0"/>
      <w:color w:val="auto"/>
      <w:sz w:val="14"/>
      <w:bdr w:val="none" w:sz="0" w:space="0" w:color="auto"/>
      <w:shd w:val="clear" w:color="auto" w:fill="BEE5FF" w:themeFill="background1" w:themeFillTint="33"/>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362D8D"/>
    <w:pPr>
      <w:ind w:left="346" w:firstLine="0"/>
    </w:pPr>
  </w:style>
  <w:style w:type="paragraph" w:customStyle="1" w:styleId="JuListi">
    <w:name w:val="Ju_List_i"/>
    <w:basedOn w:val="Normale"/>
    <w:next w:val="JuLista"/>
    <w:uiPriority w:val="28"/>
    <w:qFormat/>
    <w:rsid w:val="00362D8D"/>
    <w:pPr>
      <w:ind w:left="794"/>
    </w:pPr>
    <w:rPr>
      <w:lang w:val="en-GB"/>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362D8D"/>
    <w:pPr>
      <w:jc w:val="center"/>
      <w:outlineLvl w:val="0"/>
    </w:pPr>
    <w:rPr>
      <w:i/>
      <w:lang w:val="en-GB"/>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semiHidden/>
    <w:qFormat/>
    <w:rsid w:val="00362D8D"/>
  </w:style>
  <w:style w:type="paragraph" w:styleId="Sottotitolo">
    <w:name w:val="Subtitle"/>
    <w:basedOn w:val="Normale"/>
    <w:next w:val="Normale"/>
    <w:link w:val="SottotitoloCarattere"/>
    <w:uiPriority w:val="99"/>
    <w:semiHidden/>
    <w:qFormat/>
    <w:rsid w:val="00362D8D"/>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362D8D"/>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Court">
    <w:name w:val="Ju_Court"/>
    <w:basedOn w:val="Normale"/>
    <w:next w:val="Normale"/>
    <w:uiPriority w:val="16"/>
    <w:qFormat/>
    <w:rsid w:val="00362D8D"/>
    <w:pPr>
      <w:tabs>
        <w:tab w:val="left" w:pos="907"/>
        <w:tab w:val="left" w:pos="1701"/>
        <w:tab w:val="right" w:pos="7371"/>
      </w:tabs>
      <w:spacing w:before="240"/>
      <w:ind w:left="397" w:hanging="397"/>
      <w:jc w:val="left"/>
    </w:pPr>
    <w:rPr>
      <w:lang w:val="en-GB" w:bidi="en-US"/>
    </w:rPr>
  </w:style>
  <w:style w:type="paragraph" w:customStyle="1" w:styleId="DecList">
    <w:name w:val="Dec_List"/>
    <w:basedOn w:val="Normale"/>
    <w:uiPriority w:val="9"/>
    <w:semiHidden/>
    <w:qFormat/>
    <w:rsid w:val="00362D8D"/>
    <w:pPr>
      <w:spacing w:before="240"/>
      <w:ind w:left="284"/>
    </w:pPr>
    <w:rPr>
      <w:lang w:val="en-GB"/>
    </w:rPr>
  </w:style>
  <w:style w:type="paragraph" w:customStyle="1" w:styleId="OpiH1">
    <w:name w:val="Opi_H_1"/>
    <w:basedOn w:val="ECHRHeading2"/>
    <w:uiPriority w:val="42"/>
    <w:qFormat/>
    <w:rsid w:val="00362D8D"/>
    <w:pPr>
      <w:ind w:left="635" w:hanging="357"/>
      <w:outlineLvl w:val="2"/>
    </w:pPr>
  </w:style>
  <w:style w:type="paragraph" w:customStyle="1" w:styleId="OpiHa0">
    <w:name w:val="Opi_H_a"/>
    <w:basedOn w:val="ECHRHeading3"/>
    <w:uiPriority w:val="43"/>
    <w:qFormat/>
    <w:rsid w:val="00362D8D"/>
    <w:pPr>
      <w:ind w:left="833" w:hanging="357"/>
      <w:outlineLvl w:val="3"/>
    </w:pPr>
    <w:rPr>
      <w:b/>
      <w:i w:val="0"/>
      <w:sz w:val="20"/>
    </w:rPr>
  </w:style>
  <w:style w:type="paragraph" w:customStyle="1" w:styleId="OpiHi">
    <w:name w:val="Opi_H_i"/>
    <w:basedOn w:val="ECHRHeading4"/>
    <w:uiPriority w:val="44"/>
    <w:qFormat/>
    <w:rsid w:val="00362D8D"/>
    <w:pPr>
      <w:ind w:left="1037" w:hanging="357"/>
      <w:outlineLvl w:val="4"/>
    </w:pPr>
    <w:rPr>
      <w:b w:val="0"/>
      <w:i/>
    </w:rPr>
  </w:style>
  <w:style w:type="paragraph" w:customStyle="1" w:styleId="DummyStyle">
    <w:name w:val="Dummy_Style"/>
    <w:basedOn w:val="Normale"/>
    <w:semiHidden/>
    <w:qFormat/>
    <w:rsid w:val="00362D8D"/>
    <w:rPr>
      <w:color w:val="00B050"/>
      <w:lang w:val="en-GB"/>
    </w:rPr>
  </w:style>
  <w:style w:type="character" w:customStyle="1" w:styleId="ECHRParaChar">
    <w:name w:val="ECHR_Para Char"/>
    <w:aliases w:val="Ju_Para Char"/>
    <w:basedOn w:val="Carpredefinitoparagrafo"/>
    <w:link w:val="ECHRPara"/>
    <w:uiPriority w:val="12"/>
    <w:rsid w:val="00873CF5"/>
    <w:rPr>
      <w:rFonts w:eastAsiaTheme="minorEastAsia"/>
      <w:sz w:val="24"/>
      <w:lang w:val="en-GB"/>
    </w:rPr>
  </w:style>
  <w:style w:type="paragraph" w:customStyle="1" w:styleId="JuHeaderLandscape">
    <w:name w:val="Ju_Header_Landscape"/>
    <w:basedOn w:val="ECHRHeader"/>
    <w:uiPriority w:val="4"/>
    <w:qFormat/>
    <w:rsid w:val="00362D8D"/>
    <w:pPr>
      <w:tabs>
        <w:tab w:val="clear" w:pos="3686"/>
        <w:tab w:val="clear" w:pos="7371"/>
        <w:tab w:val="center" w:pos="6146"/>
        <w:tab w:val="right" w:pos="12293"/>
      </w:tabs>
    </w:pPr>
  </w:style>
  <w:style w:type="character" w:customStyle="1" w:styleId="JuQuotChar">
    <w:name w:val="Ju_Quot Char"/>
    <w:basedOn w:val="Carpredefinitoparagrafo"/>
    <w:link w:val="ECHRParaQuote"/>
    <w:uiPriority w:val="14"/>
    <w:rsid w:val="00C471FF"/>
    <w:rPr>
      <w:rFonts w:eastAsiaTheme="minorEastAsia"/>
      <w:sz w:val="20"/>
      <w:lang w:val="en-GB"/>
    </w:rPr>
  </w:style>
  <w:style w:type="character" w:customStyle="1" w:styleId="JuHIRomanChar">
    <w:name w:val="Ju_H_I_Roman Char"/>
    <w:link w:val="ECHRHeading1"/>
    <w:uiPriority w:val="19"/>
    <w:rsid w:val="005C05F1"/>
    <w:rPr>
      <w:rFonts w:asciiTheme="majorHAnsi" w:eastAsiaTheme="majorEastAsia" w:hAnsiTheme="majorHAnsi" w:cstheme="majorBidi"/>
      <w:bCs/>
      <w:sz w:val="24"/>
      <w:szCs w:val="28"/>
      <w:lang w:val="en-GB"/>
    </w:rPr>
  </w:style>
  <w:style w:type="character" w:customStyle="1" w:styleId="JuHaChar">
    <w:name w:val="Ju_H_a Char"/>
    <w:basedOn w:val="Carpredefinitoparagrafo"/>
    <w:link w:val="ECHRHeading4"/>
    <w:uiPriority w:val="22"/>
    <w:rsid w:val="008655A3"/>
    <w:rPr>
      <w:rFonts w:asciiTheme="majorHAnsi" w:eastAsiaTheme="majorEastAsia" w:hAnsiTheme="majorHAnsi" w:cstheme="majorBidi"/>
      <w:b/>
      <w:bCs/>
      <w:i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3215">
      <w:bodyDiv w:val="1"/>
      <w:marLeft w:val="0"/>
      <w:marRight w:val="0"/>
      <w:marTop w:val="0"/>
      <w:marBottom w:val="0"/>
      <w:divBdr>
        <w:top w:val="none" w:sz="0" w:space="0" w:color="auto"/>
        <w:left w:val="none" w:sz="0" w:space="0" w:color="auto"/>
        <w:bottom w:val="none" w:sz="0" w:space="0" w:color="auto"/>
        <w:right w:val="none" w:sz="0" w:space="0" w:color="auto"/>
      </w:divBdr>
      <w:divsChild>
        <w:div w:id="896428581">
          <w:marLeft w:val="0"/>
          <w:marRight w:val="0"/>
          <w:marTop w:val="0"/>
          <w:marBottom w:val="0"/>
          <w:divBdr>
            <w:top w:val="none" w:sz="0" w:space="0" w:color="auto"/>
            <w:left w:val="none" w:sz="0" w:space="0" w:color="auto"/>
            <w:bottom w:val="none" w:sz="0" w:space="0" w:color="auto"/>
            <w:right w:val="none" w:sz="0" w:space="0" w:color="auto"/>
          </w:divBdr>
          <w:divsChild>
            <w:div w:id="773480993">
              <w:marLeft w:val="0"/>
              <w:marRight w:val="0"/>
              <w:marTop w:val="0"/>
              <w:marBottom w:val="0"/>
              <w:divBdr>
                <w:top w:val="none" w:sz="0" w:space="0" w:color="auto"/>
                <w:left w:val="none" w:sz="0" w:space="0" w:color="auto"/>
                <w:bottom w:val="none" w:sz="0" w:space="0" w:color="auto"/>
                <w:right w:val="none" w:sz="0" w:space="0" w:color="auto"/>
              </w:divBdr>
              <w:divsChild>
                <w:div w:id="2069449034">
                  <w:marLeft w:val="0"/>
                  <w:marRight w:val="0"/>
                  <w:marTop w:val="0"/>
                  <w:marBottom w:val="0"/>
                  <w:divBdr>
                    <w:top w:val="none" w:sz="0" w:space="0" w:color="auto"/>
                    <w:left w:val="none" w:sz="0" w:space="0" w:color="auto"/>
                    <w:bottom w:val="none" w:sz="0" w:space="0" w:color="auto"/>
                    <w:right w:val="none" w:sz="0" w:space="0" w:color="auto"/>
                  </w:divBdr>
                  <w:divsChild>
                    <w:div w:id="1268269033">
                      <w:marLeft w:val="0"/>
                      <w:marRight w:val="0"/>
                      <w:marTop w:val="0"/>
                      <w:marBottom w:val="0"/>
                      <w:divBdr>
                        <w:top w:val="none" w:sz="0" w:space="0" w:color="auto"/>
                        <w:left w:val="none" w:sz="0" w:space="0" w:color="auto"/>
                        <w:bottom w:val="none" w:sz="0" w:space="0" w:color="auto"/>
                        <w:right w:val="none" w:sz="0" w:space="0" w:color="auto"/>
                      </w:divBdr>
                      <w:divsChild>
                        <w:div w:id="1205412308">
                          <w:marLeft w:val="0"/>
                          <w:marRight w:val="0"/>
                          <w:marTop w:val="0"/>
                          <w:marBottom w:val="0"/>
                          <w:divBdr>
                            <w:top w:val="none" w:sz="0" w:space="0" w:color="auto"/>
                            <w:left w:val="none" w:sz="0" w:space="0" w:color="auto"/>
                            <w:bottom w:val="none" w:sz="0" w:space="0" w:color="auto"/>
                            <w:right w:val="none" w:sz="0" w:space="0" w:color="auto"/>
                          </w:divBdr>
                          <w:divsChild>
                            <w:div w:id="1052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07442">
      <w:bodyDiv w:val="1"/>
      <w:marLeft w:val="0"/>
      <w:marRight w:val="0"/>
      <w:marTop w:val="0"/>
      <w:marBottom w:val="0"/>
      <w:divBdr>
        <w:top w:val="none" w:sz="0" w:space="0" w:color="auto"/>
        <w:left w:val="none" w:sz="0" w:space="0" w:color="auto"/>
        <w:bottom w:val="none" w:sz="0" w:space="0" w:color="auto"/>
        <w:right w:val="none" w:sz="0" w:space="0" w:color="auto"/>
      </w:divBdr>
      <w:divsChild>
        <w:div w:id="1351032389">
          <w:marLeft w:val="0"/>
          <w:marRight w:val="0"/>
          <w:marTop w:val="0"/>
          <w:marBottom w:val="0"/>
          <w:divBdr>
            <w:top w:val="none" w:sz="0" w:space="0" w:color="auto"/>
            <w:left w:val="none" w:sz="0" w:space="0" w:color="auto"/>
            <w:bottom w:val="none" w:sz="0" w:space="0" w:color="auto"/>
            <w:right w:val="none" w:sz="0" w:space="0" w:color="auto"/>
          </w:divBdr>
          <w:divsChild>
            <w:div w:id="1539008968">
              <w:marLeft w:val="0"/>
              <w:marRight w:val="0"/>
              <w:marTop w:val="0"/>
              <w:marBottom w:val="0"/>
              <w:divBdr>
                <w:top w:val="none" w:sz="0" w:space="0" w:color="auto"/>
                <w:left w:val="none" w:sz="0" w:space="0" w:color="auto"/>
                <w:bottom w:val="none" w:sz="0" w:space="0" w:color="auto"/>
                <w:right w:val="none" w:sz="0" w:space="0" w:color="auto"/>
              </w:divBdr>
              <w:divsChild>
                <w:div w:id="615718256">
                  <w:marLeft w:val="0"/>
                  <w:marRight w:val="0"/>
                  <w:marTop w:val="0"/>
                  <w:marBottom w:val="0"/>
                  <w:divBdr>
                    <w:top w:val="none" w:sz="0" w:space="0" w:color="auto"/>
                    <w:left w:val="none" w:sz="0" w:space="0" w:color="auto"/>
                    <w:bottom w:val="none" w:sz="0" w:space="0" w:color="auto"/>
                    <w:right w:val="none" w:sz="0" w:space="0" w:color="auto"/>
                  </w:divBdr>
                  <w:divsChild>
                    <w:div w:id="1176337861">
                      <w:marLeft w:val="0"/>
                      <w:marRight w:val="0"/>
                      <w:marTop w:val="0"/>
                      <w:marBottom w:val="0"/>
                      <w:divBdr>
                        <w:top w:val="none" w:sz="0" w:space="0" w:color="auto"/>
                        <w:left w:val="none" w:sz="0" w:space="0" w:color="auto"/>
                        <w:bottom w:val="none" w:sz="0" w:space="0" w:color="auto"/>
                        <w:right w:val="none" w:sz="0" w:space="0" w:color="auto"/>
                      </w:divBdr>
                      <w:divsChild>
                        <w:div w:id="656618241">
                          <w:marLeft w:val="0"/>
                          <w:marRight w:val="0"/>
                          <w:marTop w:val="0"/>
                          <w:marBottom w:val="0"/>
                          <w:divBdr>
                            <w:top w:val="none" w:sz="0" w:space="0" w:color="auto"/>
                            <w:left w:val="none" w:sz="0" w:space="0" w:color="auto"/>
                            <w:bottom w:val="none" w:sz="0" w:space="0" w:color="auto"/>
                            <w:right w:val="none" w:sz="0" w:space="0" w:color="auto"/>
                          </w:divBdr>
                          <w:divsChild>
                            <w:div w:id="1251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16E9-F521-4881-9679-34A87B2BB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96159-EA5B-4155-96C3-52474DC7E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7E27D1-8FAF-45B3-AB78-4113FC5C207F}">
  <ds:schemaRefs>
    <ds:schemaRef ds:uri="http://schemas.microsoft.com/sharepoint/v3/contenttype/forms"/>
  </ds:schemaRefs>
</ds:datastoreItem>
</file>

<file path=customXml/itemProps4.xml><?xml version="1.0" encoding="utf-8"?>
<ds:datastoreItem xmlns:ds="http://schemas.openxmlformats.org/officeDocument/2006/customXml" ds:itemID="{92AAC0A8-4E2D-4177-903B-0AA4C7EE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3741</Words>
  <Characters>21327</Characters>
  <Application>Microsoft Office Word</Application>
  <DocSecurity>0</DocSecurity>
  <Lines>177</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2017-11-16T15:05:00Z</dcterms:created>
  <dcterms:modified xsi:type="dcterms:W3CDTF">2017-11-16T15:05:00Z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30801/06</vt:lpwstr>
  </property>
  <property fmtid="{D5CDD505-2E9C-101B-9397-08002B2CF9AE}" pid="4" name="CASEID">
    <vt:lpwstr>407017</vt:lpwstr>
  </property>
  <property fmtid="{D5CDD505-2E9C-101B-9397-08002B2CF9AE}" pid="5" name="ContentTypeId">
    <vt:lpwstr>0x010100558EB02BDB9E204AB350EDD385B68E10</vt:lpwstr>
  </property>
</Properties>
</file>